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2"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allocated to each sequence of each batch (equal allocation across sequences)</w:t>
      </w:r>
      <w:r>
        <w:rPr>
          <w:vertAlign w:val="superscript"/>
        </w:rPr>
        <w:t xml:space="preserve">1</w:t>
      </w:r>
      <w:r>
        <w:t xml:space="preserve">. Each period is one month, and each cluster will be in the trial for a total of 13 months. Clusters are repeatedly measured across periods. The intervention will be implemented during a one-month transition period, which will be excluded from the analysis. There will be an anticipated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p>
      <w:pPr>
        <w:pStyle w:val="BodyText"/>
      </w:pPr>
      <w:r>
        <w:t xml:space="preserve">Random selection of patients for nested staircase outcome collection is separate from cluster randomisation and is described under Nested staircase design and secondary outcomes (stratified random sampling by shift).</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p>
      <w:pPr>
        <w:pStyle w:val="FirstParagraph"/>
      </w:pPr>
      <w:r>
        <w:t xml:space="preserve">Sample size calculations were performed during the trial design phase using the Shiny CRT Calculator</w:t>
      </w:r>
      <w:r>
        <w:rPr>
          <w:vertAlign w:val="superscript"/>
        </w:rPr>
        <w:t xml:space="preserve">4</w:t>
      </w:r>
      <w:r>
        <w:t xml:space="preserve">.</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Adherence, quality of life, and disability collected in the nested staircase are secondary outcomes; the nested power calculations below inform only the sample size required for their data collection.</w:t>
      </w:r>
    </w:p>
    <w:p>
      <w:pPr>
        <w:pStyle w:val="BodyText"/>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p>
      <w:pPr>
        <w:pStyle w:val="BodyText"/>
      </w:pPr>
      <w:r>
        <w:t xml:space="preserve">Primary and secondary outcomes will be analysed collectively in a single final analysis once all trial data are available.</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units within hospitals deliver care, and individual patients constitute the unit of observation and analysis. Randomisation is performed at the hospital level, with all trained units within the same hospital treated as part of the same cluster. Analysis models therefore account for clustering at the hospital level and do not include a separate random effect for unit within hospital.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mortality secondary outcomes, length-of-stay outcomes, and ICU admission, the analysis set is all eligible patient participants included in the main stepped-wedge trial (with length of ICU stay restricted to patients admitted to ICU). For quality-of-life and disability outcomes, the analysis set is patients alive at the relevant follow-up time point within the nested staircase sample. For return-to-work outcomes, the analysis set is patients alive at the relevant follow-up time point in the main stepped-wedge trial for whom return to work is relevant.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under the available-case approach, the analysis set will be restricted to participants with complete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8"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2"/>
        </w:tc>
      </w:tr>
    </w:tbl>
    <w:bookmarkEnd w:id="83"/>
    <w:bookmarkStart w:id="85" w:name="patient-characteristics"/>
    <w:p>
      <w:pPr>
        <w:pStyle w:val="Heading3"/>
      </w:pPr>
      <w:r>
        <w:t xml:space="preserve">5.8.2 Patient characteristics</w:t>
      </w:r>
    </w:p>
    <w:p>
      <w:pPr>
        <w:pStyle w:val="FirstParagraph"/>
      </w:pPr>
      <w:r>
        <w:t xml:space="preserve">We will describe patient characteristics among all eligible patients over the entire trial period,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(i.e. non-outcome variables).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5</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84"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4"/>
        </w:tc>
      </w:tr>
    </w:tbl>
    <w:bookmarkEnd w:id="85"/>
    <w:bookmarkStart w:id="87" w:name="outcomes-1"/>
    <w:p>
      <w:pPr>
        <w:pStyle w:val="Heading3"/>
      </w:pPr>
      <w:r>
        <w:t xml:space="preserve">5.8.3 Outcomes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We will present key outcome summaries in the results section, and present all outcome summaries as supplementary tables. See</w:t>
      </w:r>
      <w:r>
        <w:t xml:space="preserve"> </w:t>
      </w:r>
      <w:hyperlink w:anchor="tbl-outcomes-descriptive">
        <w:r>
          <w:rPr>
            <w:rStyle w:val="Hyperlink"/>
          </w:rPr>
          <w:t xml:space="preserve">Table 4</w:t>
        </w:r>
      </w:hyperlink>
      <w:r>
        <w:t xml:space="preserve"> </w:t>
      </w:r>
      <w:r>
        <w:t xml:space="preserve">for key outcomes and</w:t>
      </w:r>
      <w:r>
        <w:t xml:space="preserve"> </w:t>
      </w:r>
      <w:hyperlink w:anchor="tbl-outcomes-descriptive-all">
        <w:r>
          <w:rPr>
            <w:rStyle w:val="Hyperlink"/>
          </w:rPr>
          <w:t xml:space="preserve">Table 6</w:t>
        </w:r>
      </w:hyperlink>
      <w:r>
        <w:t xml:space="preserve"> </w:t>
      </w:r>
      <w:r>
        <w:t xml:space="preserve">for all outcomes.</w:t>
      </w:r>
    </w:p>
    <w:tbl>
      <w:tblPr>
        <w:tblStyle w:val="Table"/>
        <w:tblW w:type="pct" w:w="5000"/>
        <w:tblLayout w:type="fixed"/>
        <w:tblLook w:firstRow="0" w:lastRow="0" w:firstColumn="0" w:lastColumn="0" w:noHBand="0" w:noVBand="0" w:val="0000"/>
      </w:tblPr>
      <w:tblGrid>
        <w:gridCol w:w="7920"/>
      </w:tblGrid>
      <w:tr>
        <w:tc>
          <w:tcPr/>
          <w:bookmarkStart w:id="86" w:name="tbl-outcomes-descriptive"/>
          <w:p>
            <w:pPr>
              <w:jc w:val="center"/>
            </w:pPr>
            <w:pPr>
              <w:jc w:val="left"/>
              <w:spacing w:before="200"/>
              <w:pStyle w:val="ImageCaption"/>
            </w:pPr>
            <w:r>
              <w:t xml:space="preserve">Table 4: Descriptive summaries of key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6"/>
        </w:tc>
      </w:tr>
    </w:tbl>
    <w:bookmarkEnd w:id="87"/>
    <w:bookmarkEnd w:id="88"/>
    <w:bookmarkStart w:id="89"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9"/>
    <w:bookmarkStart w:id="107"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These models account for clustering at the hospital level and provide cluster-specific estimates of the intervention effect. The primary analysis will be based on the most complex model that converges from a prespecified sequence of models of decreasing complexity. The analysis will proceed from the most complex model to progressively simpler models if there are convergence or numerical stability issues. The primary analysis will then be subject to sensitivity analyses.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5"/>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90"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90"/>
    </w:p>
    <w:p>
      <w:pPr>
        <w:pStyle w:val="Compact"/>
        <w:numPr>
          <w:ilvl w:val="0"/>
          <w:numId w:val="1006"/>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91"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91"/>
    </w:p>
    <w:p>
      <w:pPr>
        <w:pStyle w:val="Compact"/>
        <w:numPr>
          <w:ilvl w:val="0"/>
          <w:numId w:val="1007"/>
        </w:numPr>
      </w:pPr>
      <w:r>
        <w:rPr>
          <w:b/>
          <w:bCs/>
        </w:rPr>
        <w:t xml:space="preserve">Model with shared period effects</w:t>
      </w:r>
      <w:r>
        <w:t xml:space="preserve">: a model in which fixed period effects are shared across batches, with time adjusted for using a common period effect or calendar time modelled directly (e.g., as a continuous covariate or using splines). A random intercept for cluster and a random cluster-by-period effect are retained; clusters remain indexed by batch, but the fixed period effects are common across batches. The model is specified in</w:t>
      </w:r>
      <w:r>
        <w:t xml:space="preserve"> </w:t>
      </w:r>
      <w:hyperlink w:anchor="eq-shared-period-model">
        <w:r>
          <w:rPr>
            <w:rStyle w:val="Hyperlink"/>
          </w:rPr>
          <w:t xml:space="preserve">Equation 3</w:t>
        </w:r>
      </w:hyperlink>
      <w:r>
        <w:t xml:space="preserve">.</w:t>
      </w:r>
    </w:p>
    <w:p>
      <w:pPr>
        <w:pStyle w:val="FirstParagraph"/>
      </w:pPr>
      <w:bookmarkStart w:id="92"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2"/>
    </w:p>
    <w:p>
      <w:pPr>
        <w:pStyle w:val="Compact"/>
        <w:numPr>
          <w:ilvl w:val="0"/>
          <w:numId w:val="1008"/>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3"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3"/>
    </w:p>
    <w:p>
      <w:pPr>
        <w:pStyle w:val="FirstParagraph"/>
      </w:pPr>
      <w:r>
        <w:t xml:space="preserve">Where:</w:t>
      </w:r>
    </w:p>
    <w:p>
      <w:pPr>
        <w:pStyle w:val="Compact"/>
        <w:numPr>
          <w:ilvl w:val="0"/>
          <w:numId w:val="1009"/>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09"/>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09"/>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09"/>
        </w:numPr>
      </w:pPr>
      <m:oMath>
        <m:r>
          <m:t>μ</m:t>
        </m:r>
      </m:oMath>
      <w:r>
        <w:t xml:space="preserve">: the intercept, representing the value of the linear predictor for the reference levels of all fixed effects, with random effects equal to zero.</w:t>
      </w:r>
    </w:p>
    <w:p>
      <w:pPr>
        <w:pStyle w:val="Compact"/>
        <w:numPr>
          <w:ilvl w:val="0"/>
          <w:numId w:val="1009"/>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09"/>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09"/>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09"/>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09"/>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4"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4"/>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Standard errors will be model-based. Small-sample adjustments, including degrees-of-freedom corrections such as Kenward–Roger, will be applied where relevant. Confidence intervals will be Wald-type.</w:t>
      </w:r>
    </w:p>
    <w:p>
      <w:pPr>
        <w:pStyle w:val="BodyText"/>
      </w:pPr>
      <w:r>
        <w:t xml:space="preserve">The general estimation framework for the mixed-effects models is maximum likelihood, with a Laplace approximation used to integrate out the random effects. The specific R package and numerical implementation will be chosen based on convergence behaviour and the availability of appropriate small-sample corrections closer to the time of analysis. If the binomial model with the logit link converges but the corresponding model with the identity link does not, then we will report only an OR.</w:t>
      </w:r>
    </w:p>
    <w:p>
      <w:pPr>
        <w:pStyle w:val="BodyText"/>
      </w:pPr>
      <w:r>
        <w:t xml:space="preserve">Model diagnostics will be used to assess distributional assumptions and model convergence.</w:t>
      </w:r>
    </w:p>
    <w:p>
      <w:pPr>
        <w:pStyle w:val="BodyText"/>
      </w:pPr>
      <w:r>
        <w:t xml:space="preserve">We will report time-adjusted within-cluster correlations for all outcomes with 95% CIs, including the intra-cluster correlation (ICC) and within- and between-period correlations implied by the assumed correlation structures, together with all estimated variance components. For binary outcomes, correlations will also be reported on the latent scale.</w:t>
      </w:r>
    </w:p>
    <w:p>
      <w:pPr>
        <w:pStyle w:val="BodyText"/>
      </w:pPr>
      <w:r>
        <w:t xml:space="preserve">Intra-cluster and related correlation parameters will be derived from the estimated variance components of the fitted models. For models with an AR(1) within-cluster structure, the correlation parameter will be estimated directly from the AR(1) structure.</w:t>
      </w:r>
    </w:p>
    <w:bookmarkStart w:id="103"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6"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5"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5"/>
    </w:p>
    <w:p>
      <w:pPr>
        <w:pStyle w:val="FirstParagraph"/>
      </w:pPr>
      <w:r>
        <w:t xml:space="preserve">Where:</w:t>
      </w:r>
    </w:p>
    <w:p>
      <w:pPr>
        <w:pStyle w:val="Compact"/>
        <w:numPr>
          <w:ilvl w:val="0"/>
          <w:numId w:val="1010"/>
        </w:numPr>
      </w:pPr>
      <m:oMath>
        <m:r>
          <m:t>ρ</m:t>
        </m:r>
      </m:oMath>
      <w:r>
        <w:t xml:space="preserve"> </w:t>
      </w:r>
      <w:r>
        <w:t xml:space="preserve">is the correlation parameter governing the association between adjacent periods within the same cluster.</w:t>
      </w:r>
    </w:p>
    <w:p>
      <w:pPr>
        <w:pStyle w:val="Compact"/>
        <w:numPr>
          <w:ilvl w:val="0"/>
          <w:numId w:val="1010"/>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0"/>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6"/>
    <w:bookmarkStart w:id="98" w:name="X831bc7e780a434f5c3512e5d33d43284b7d37ce"/>
    <w:p>
      <w:pPr>
        <w:pStyle w:val="Heading4"/>
      </w:pPr>
      <w:r>
        <w:t xml:space="preserve">5.10.1.2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with a non-zero covariance between this slope and the cluster random intercept (as anticipated in the protocol). The cluster-by-period random effect remains independent of both. The model is specified in</w:t>
      </w:r>
      <w:r>
        <w:t xml:space="preserve"> </w:t>
      </w:r>
      <w:hyperlink w:anchor="eq-model-random-cluster-intervention">
        <w:r>
          <w:rPr>
            <w:rStyle w:val="Hyperlink"/>
          </w:rPr>
          <w:t xml:space="preserve">Equation 7</w:t>
        </w:r>
      </w:hyperlink>
      <w:r>
        <w:t xml:space="preserve">.</w:t>
      </w:r>
    </w:p>
    <w:p>
      <w:pPr>
        <w:pStyle w:val="BodyText"/>
      </w:pPr>
      <w:bookmarkStart w:id="97"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7</m:t>
              </m:r>
            </m:e>
          </m:d>
        </m:oMath>
      </m:oMathPara>
      <w:bookmarkEnd w:id="97"/>
    </w:p>
    <w:p>
      <w:pPr>
        <w:pStyle w:val="FirstParagraph"/>
      </w:pPr>
      <w:r>
        <w:t xml:space="preserve">Where:</w:t>
      </w:r>
    </w:p>
    <w:p>
      <w:pPr>
        <w:pStyle w:val="Compact"/>
        <w:numPr>
          <w:ilvl w:val="0"/>
          <w:numId w:val="1011"/>
        </w:numPr>
      </w:pPr>
      <m:oMath>
        <m:sSub>
          <m:e>
            <m:r>
              <m:t>u</m:t>
            </m:r>
          </m:e>
          <m:sub>
            <m:r>
              <m:t>b</m:t>
            </m:r>
            <m:r>
              <m:t>k</m:t>
            </m:r>
          </m:sub>
        </m:sSub>
      </m:oMath>
      <w:r>
        <w:t xml:space="preserve"> </w:t>
      </w:r>
      <w:r>
        <w:t xml:space="preserve">is a random effect representing cluster-specific deviations from the average intervention effect.</w:t>
      </w:r>
    </w:p>
    <w:p>
      <w:pPr>
        <w:pStyle w:val="Compact"/>
        <w:numPr>
          <w:ilvl w:val="0"/>
          <w:numId w:val="1011"/>
        </w:numPr>
      </w:pPr>
      <w:r>
        <w:t xml:space="preserve">The cluster intercept and intervention slope are jointly normally distributed,</w:t>
      </w:r>
    </w:p>
    <w:p>
      <w:pPr>
        <w:pStyle w:val="Compac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α</m:t>
                            </m:r>
                          </m:sub>
                          <m:sup>
                            <m:r>
                              <m:t>2</m:t>
                            </m:r>
                          </m:sup>
                        </m:sSubSup>
                      </m:e>
                      <m:e>
                        <m:sSub>
                          <m:e>
                            <m:r>
                              <m:t>σ</m:t>
                            </m:r>
                          </m:e>
                          <m:sub>
                            <m:r>
                              <m:t>α</m:t>
                            </m:r>
                            <m:r>
                              <m:t>u</m:t>
                            </m:r>
                          </m:sub>
                        </m:sSub>
                      </m:e>
                    </m:mr>
                    <m:mr>
                      <m:e>
                        <m:sSub>
                          <m:e>
                            <m:r>
                              <m:t>σ</m:t>
                            </m:r>
                          </m:e>
                          <m:sub>
                            <m:r>
                              <m:t>α</m:t>
                            </m:r>
                            <m:r>
                              <m:t>u</m:t>
                            </m:r>
                          </m:sub>
                        </m:sSub>
                      </m:e>
                      <m:e>
                        <m:sSubSup>
                          <m:e>
                            <m:r>
                              <m:t>σ</m:t>
                            </m:r>
                          </m:e>
                          <m:sub>
                            <m:r>
                              <m:t>u</m:t>
                            </m:r>
                          </m:sub>
                          <m:sup>
                            <m:r>
                              <m:t>2</m:t>
                            </m:r>
                          </m:sup>
                        </m:sSubSup>
                      </m:e>
                    </m:mr>
                  </m:m>
                </m:e>
              </m:d>
            </m:e>
          </m:d>
          <m:r>
            <m:rPr>
              <m:sty m:val="p"/>
            </m:rPr>
            <m:t>,</m:t>
          </m:r>
        </m:oMath>
      </m:oMathPara>
    </w:p>
    <w:p>
      <w:pPr>
        <w:pStyle w:val="Compact"/>
        <w:numPr>
          <w:ilvl w:val="0"/>
          <w:numId w:val="1000"/>
        </w:numPr>
      </w:pPr>
      <w:r>
        <w:t xml:space="preserve">with</w:t>
      </w:r>
      <w:r>
        <w:t xml:space="preserve"> </w:t>
      </w:r>
      <m:oMath>
        <m:sSub>
          <m:e>
            <m:r>
              <m:t>σ</m:t>
            </m:r>
          </m:e>
          <m:sub>
            <m:r>
              <m:t>α</m:t>
            </m:r>
            <m:r>
              <m:t>u</m:t>
            </m:r>
          </m:sub>
        </m:sSub>
        <m:r>
          <m:rPr>
            <m:sty m:val="p"/>
          </m:rPr>
          <m:t>≠</m:t>
        </m:r>
        <m:r>
          <m:t>0</m:t>
        </m:r>
      </m:oMath>
      <w:r>
        <w:t xml:space="preserve"> </w:t>
      </w:r>
      <w:r>
        <w:t xml:space="preserve">allowed.</w:t>
      </w:r>
    </w:p>
    <w:p>
      <w:pPr>
        <w:pStyle w:val="Compact"/>
        <w:numPr>
          <w:ilvl w:val="0"/>
          <w:numId w:val="1011"/>
        </w:numPr>
      </w:pPr>
      <m:oMath>
        <m:sSub>
          <m:e>
            <m:r>
              <m:t>γ</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γ</m:t>
                </m:r>
              </m:sub>
              <m:sup>
                <m:r>
                  <m:t>2</m:t>
                </m:r>
              </m:sup>
            </m:sSubSup>
          </m:e>
        </m:d>
      </m:oMath>
      <w:r>
        <w:t xml:space="preserve"> </w:t>
      </w:r>
      <w:r>
        <w:t xml:space="preserve">is independent of</w:t>
      </w:r>
      <w:r>
        <w:t xml:space="preserve"> </w:t>
      </w:r>
      <m:oMath>
        <m:d>
          <m:dPr>
            <m:begChr m:val="("/>
            <m:sepChr m:val=""/>
            <m:endChr m:val=")"/>
            <m:grow/>
          </m:dPr>
          <m:e>
            <m:sSub>
              <m:e>
                <m:r>
                  <m:t>α</m:t>
                </m:r>
              </m:e>
              <m:sub>
                <m:r>
                  <m:t>b</m:t>
                </m:r>
                <m:r>
                  <m:t>k</m:t>
                </m:r>
              </m:sub>
            </m:sSub>
            <m:r>
              <m:rPr>
                <m:sty m:val="p"/>
              </m:rPr>
              <m:t>,</m:t>
            </m:r>
            <m:sSub>
              <m:e>
                <m:r>
                  <m:t>u</m:t>
                </m:r>
              </m:e>
              <m:sub>
                <m:r>
                  <m:t>b</m:t>
                </m:r>
                <m:r>
                  <m:t>k</m:t>
                </m:r>
              </m:sub>
            </m:sSub>
          </m:e>
        </m:d>
      </m:oMath>
      <w:r>
        <w:t xml:space="preserve">.</w:t>
      </w:r>
    </w:p>
    <w:bookmarkEnd w:id="98"/>
    <w:bookmarkStart w:id="100" w:name="Xb7b1d3ff7c24f0b8dca2081a41dd1947ef59e07"/>
    <w:p>
      <w:pPr>
        <w:pStyle w:val="Heading4"/>
      </w:pPr>
      <w:r>
        <w:t xml:space="preserve">5.10.1.3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8</w:t>
        </w:r>
      </w:hyperlink>
      <w:r>
        <w:t xml:space="preserve">.</w:t>
      </w:r>
    </w:p>
    <w:p>
      <w:pPr>
        <w:pStyle w:val="BodyText"/>
      </w:pPr>
      <w:bookmarkStart w:id="99"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8</m:t>
              </m:r>
            </m:e>
          </m:d>
        </m:oMath>
      </m:oMathPara>
      <w:bookmarkEnd w:id="99"/>
    </w:p>
    <w:p>
      <w:pPr>
        <w:pStyle w:val="FirstParagraph"/>
      </w:pPr>
      <w:r>
        <w:t xml:space="preserve">Where:</w:t>
      </w:r>
    </w:p>
    <w:p>
      <w:pPr>
        <w:pStyle w:val="Compact"/>
        <w:numPr>
          <w:ilvl w:val="0"/>
          <w:numId w:val="1012"/>
        </w:numPr>
      </w:pPr>
      <m:oMath>
        <m:r>
          <m:t>t</m:t>
        </m:r>
      </m:oMath>
      <w:r>
        <w:t xml:space="preserve"> </w:t>
      </w:r>
      <w:r>
        <w:t xml:space="preserve">denotes calendar time (period index) common to all batches.</w:t>
      </w:r>
    </w:p>
    <w:p>
      <w:pPr>
        <w:pStyle w:val="Compact"/>
        <w:numPr>
          <w:ilvl w:val="0"/>
          <w:numId w:val="1012"/>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2"/>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0"/>
    <w:bookmarkStart w:id="102" w:name="models-exploring-lag-and-weaning-effects"/>
    <w:p>
      <w:pPr>
        <w:pStyle w:val="Heading4"/>
      </w:pPr>
      <w:r>
        <w:t xml:space="preserve">5.10.1.4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9</w:t>
        </w:r>
      </w:hyperlink>
      <w:r>
        <w:t xml:space="preserve">.</w:t>
      </w:r>
    </w:p>
    <w:p>
      <w:pPr>
        <w:pStyle w:val="BodyText"/>
      </w:pPr>
      <w:bookmarkStart w:id="101"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9</m:t>
              </m:r>
            </m:e>
          </m:d>
        </m:oMath>
      </m:oMathPara>
      <w:bookmarkEnd w:id="101"/>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2"/>
    <w:bookmarkEnd w:id="103"/>
    <w:bookmarkStart w:id="104"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3"/>
        </w:numPr>
      </w:pPr>
      <w:r>
        <w:t xml:space="preserve">Age (&lt;5%)</w:t>
      </w:r>
    </w:p>
    <w:p>
      <w:pPr>
        <w:pStyle w:val="Compact"/>
        <w:numPr>
          <w:ilvl w:val="0"/>
          <w:numId w:val="1013"/>
        </w:numPr>
      </w:pPr>
      <w:r>
        <w:t xml:space="preserve">Sex (&lt;5%)</w:t>
      </w:r>
    </w:p>
    <w:p>
      <w:pPr>
        <w:pStyle w:val="Compact"/>
        <w:numPr>
          <w:ilvl w:val="0"/>
          <w:numId w:val="1013"/>
        </w:numPr>
      </w:pPr>
      <w:r>
        <w:t xml:space="preserve">Systolic blood pressure (25%)</w:t>
      </w:r>
    </w:p>
    <w:p>
      <w:pPr>
        <w:pStyle w:val="Compact"/>
        <w:numPr>
          <w:ilvl w:val="0"/>
          <w:numId w:val="1013"/>
        </w:numPr>
      </w:pPr>
      <w:r>
        <w:t xml:space="preserve">Glasgow Coma Scale (25%)</w:t>
      </w:r>
    </w:p>
    <w:p>
      <w:pPr>
        <w:pStyle w:val="Compact"/>
        <w:numPr>
          <w:ilvl w:val="0"/>
          <w:numId w:val="1013"/>
        </w:numPr>
      </w:pPr>
      <w:r>
        <w:t xml:space="preserve">Injury Severity Score (10%)</w:t>
      </w:r>
    </w:p>
    <w:p>
      <w:pPr>
        <w:pStyle w:val="Compact"/>
        <w:numPr>
          <w:ilvl w:val="0"/>
          <w:numId w:val="1013"/>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4"/>
    <w:bookmarkStart w:id="105" w:name="subgroup-analyses"/>
    <w:p>
      <w:pPr>
        <w:pStyle w:val="Heading3"/>
      </w:pPr>
      <w:r>
        <w:t xml:space="preserve">5.10.3 Subgroup analyses</w:t>
      </w:r>
    </w:p>
    <w:p>
      <w:pPr>
        <w:pStyle w:val="FirstParagraph"/>
      </w:pPr>
      <w:r>
        <w:t xml:space="preserve">We will perform the following subgroup analyses of the primary outcome:</w:t>
      </w:r>
    </w:p>
    <w:p>
      <w:pPr>
        <w:pStyle w:val="Compact"/>
        <w:numPr>
          <w:ilvl w:val="0"/>
          <w:numId w:val="1014"/>
        </w:numPr>
      </w:pPr>
      <w:r>
        <w:t xml:space="preserve">geographical region, defined using the state in which the participating hospital is located, with each state as a separate category; the number of states depends on the final set of participating clusters and cannot be prespecified;</w:t>
      </w:r>
    </w:p>
    <w:p>
      <w:pPr>
        <w:pStyle w:val="Compact"/>
        <w:numPr>
          <w:ilvl w:val="0"/>
          <w:numId w:val="1014"/>
        </w:numPr>
      </w:pPr>
      <w:r>
        <w:t xml:space="preserve">age groups, defined as older adolescents (15-19 years), young adults (20-24 years), adults (25-59 years), and older adults (60 years and older)</w:t>
      </w:r>
      <w:r>
        <w:rPr>
          <w:vertAlign w:val="superscript"/>
        </w:rPr>
        <w:t xml:space="preserve">18</w:t>
      </w:r>
      <w:r>
        <w:t xml:space="preserve">;</w:t>
      </w:r>
    </w:p>
    <w:p>
      <w:pPr>
        <w:pStyle w:val="Compact"/>
        <w:numPr>
          <w:ilvl w:val="0"/>
          <w:numId w:val="1014"/>
        </w:numPr>
      </w:pPr>
      <w:r>
        <w:t xml:space="preserve">sex, using the levels male and female;</w:t>
      </w:r>
    </w:p>
    <w:p>
      <w:pPr>
        <w:pStyle w:val="Compact"/>
        <w:numPr>
          <w:ilvl w:val="0"/>
          <w:numId w:val="1014"/>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 this subgroup analysis will include only patients classified into one of these three cohorts;</w:t>
      </w:r>
    </w:p>
    <w:p>
      <w:pPr>
        <w:pStyle w:val="Compact"/>
        <w:numPr>
          <w:ilvl w:val="0"/>
          <w:numId w:val="1014"/>
        </w:numPr>
      </w:pPr>
      <w:r>
        <w:t xml:space="preserve">patients with major trauma, defined as patients with an injury severity score (ISS) of 16 or higher versus those with ISS below 16;</w:t>
      </w:r>
    </w:p>
    <w:p>
      <w:pPr>
        <w:pStyle w:val="Compact"/>
        <w:numPr>
          <w:ilvl w:val="0"/>
          <w:numId w:val="1014"/>
        </w:numPr>
      </w:pPr>
      <w:r>
        <w:t xml:space="preserve">cluster size, defined as the monthly volume of eligible patients (as used for covariate-constrained randomisation) and categorised as small (fewer than 12 patients per month), medium (12–20), or large (more than 20)</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5"/>
    <w:bookmarkStart w:id="106" w:name="sec-treatment-of-missing-data"/>
    <w:p>
      <w:pPr>
        <w:pStyle w:val="Heading3"/>
      </w:pPr>
      <w:r>
        <w:t xml:space="preserve">5.10.4 Treatment of missing data</w:t>
      </w:r>
    </w:p>
    <w:p>
      <w:pPr>
        <w:pStyle w:val="FirstParagraph"/>
      </w:pPr>
      <w:r>
        <w:t xml:space="preserve">We will present the frequency and percentage of missing data for all variables. Handling of missing data for the primary analysis will depend on the percentage of missing data for the primary outcome.</w:t>
      </w:r>
    </w:p>
    <w:p>
      <w:pPr>
        <w:pStyle w:val="BodyText"/>
      </w:pPr>
      <w:r>
        <w:t xml:space="preserve">If less than 10% of participants have a missing primary outcome, we will use an available-case approach. The primary unadjusted analysis will include all participants with observed primary outcome data. Adjusted analyses will be restricted to participants with complete data on the adjustment covariates, and the unadjusted analysis will be repeated in this complete-case population to allow the results of the unadjusted and ajusted analyses to be directly compared.</w:t>
      </w:r>
    </w:p>
    <w:p>
      <w:pPr>
        <w:pStyle w:val="BodyText"/>
      </w:pPr>
      <w:r>
        <w:t xml:space="preserve">If 10% or more of participants have a missing primary outcome, we will use multiple imputation by chained equations (MICE) under a missing-at-random assumption, imputing the primary outcome, secondary outcomes as required for analysis, and the covariates included in the fully adjusted model, with a minimum of 20 imputations. The imputation model will reflect the hierarchical data structure, including clustering at the hospital level and design variables such as period and intervention exposure. Unadjusted and adjusted analyses will then be conducted using the imputed datasets. We will also present the corresponding complete-case analyses for comparison. Secondary outcomes will not be imputed under the available-case approach.</w:t>
      </w:r>
    </w:p>
    <w:p>
      <w:pPr>
        <w:pStyle w:val="BodyText"/>
      </w:pPr>
      <w:r>
        <w:t xml:space="preserve">If there is evidence that data are missing not at random, we will explore this in a sensitivity analysis.</w:t>
      </w:r>
    </w:p>
    <w:bookmarkEnd w:id="106"/>
    <w:bookmarkEnd w:id="107"/>
    <w:bookmarkStart w:id="121"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 Effect measures are odds ratios and absolute risk differences for binary outcomes, rate ratios for count (length-of-stay) outcomes, cumulative odds ratios for ordinal outcomes, mean differences for continuous outcomes, and a logit-scale difference for the adherence proportion; there are no time-to-event analyses and no hazard ratios. These models provide cluster-specific estimates of the intervention effect for patient-level outcomes. Model diagnostics will be used to assess distributional assumptions, the proportional-odds assumption for cumulative logit models, and model convergence.</w:t>
      </w:r>
    </w:p>
    <w:bookmarkStart w:id="108"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8"/>
    <w:bookmarkStart w:id="111"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within the nested staircase design using the official and validated translations of the EQ-5D-5L. The EQ-5D-5L yields two outcome types: five ordinal domain scores (mobility, self-care, usual activities, pain/discomfort, and anxiety/depression), each rated on a Likert scale from 1 to 5, and a visual analogue scale (VAS) ranging from 0 to 100. For these analyses, period effects are defined on the global study timeline (not separately within each batch), and not all clusters contribute data in every period.</w:t>
      </w:r>
    </w:p>
    <w:p>
      <w:pPr>
        <w:pStyle w:val="BodyText"/>
      </w:pPr>
      <w:r>
        <w:t xml:space="preserve">For each of the five ordinal domains, we will use a mixed-effects cumulative logit (proportional odds) model:</w:t>
      </w:r>
    </w:p>
    <w:p>
      <w:pPr>
        <w:pStyle w:val="BodyText"/>
      </w:pPr>
      <w:bookmarkStart w:id="109"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9"/>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0"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11</m:t>
              </m:r>
            </m:e>
          </m:d>
        </m:oMath>
      </m:oMathPara>
      <w:bookmarkEnd w:id="110"/>
    </w:p>
    <w:bookmarkEnd w:id="111"/>
    <w:bookmarkStart w:id="112"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Disability will be measured within the nested staircase design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As for quality of life, period effects are defined on the global study timeline, and not all clusters contribute data in every period. We will analyse each domain separately using a mixed effects ordinal model as specified in</w:t>
      </w:r>
      <w:r>
        <w:t xml:space="preserve"> </w:t>
      </w:r>
      <w:hyperlink w:anchor="eq-ordinal-model">
        <w:r>
          <w:rPr>
            <w:rStyle w:val="Hyperlink"/>
          </w:rPr>
          <w:t xml:space="preserve">Equation 10</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11</w:t>
        </w:r>
      </w:hyperlink>
      <w:r>
        <w:t xml:space="preserve">.</w:t>
      </w:r>
    </w:p>
    <w:bookmarkEnd w:id="112"/>
    <w:bookmarkStart w:id="113"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3"/>
    <w:bookmarkStart w:id="115" w:name="length-of-emergency-department-stay"/>
    <w:p>
      <w:pPr>
        <w:pStyle w:val="Heading3"/>
      </w:pPr>
      <w:r>
        <w:t xml:space="preserve">5.11.5 Length of emergency department stay</w:t>
      </w:r>
    </w:p>
    <w:p>
      <w:pPr>
        <w:pStyle w:val="FirstParagraph"/>
      </w:pPr>
      <w:r>
        <w:t xml:space="preserve">Length of emergency department stay will be analysed as a count outcome: the number of hours from arrival at the emergency department until ED exit. Exit may occur via ward admission, ICU admission, transfer to another hospital, death, or discharge home; all of these routes contribute the observed ED duration. The purpose of the analysis is to estimate the effect of ATLS® on mean ED length of stay. Death and transfer truncate the observed stay and are not treated as censoring; mortality is analysed separately as a primary and secondary outcome.</w:t>
      </w:r>
    </w:p>
    <w:p>
      <w:pPr>
        <w:pStyle w:val="BodyText"/>
      </w:pPr>
      <w:r>
        <w:t xml:space="preserve">We will use a mixed-effects negative binomial regression model with a log link, including fixed effects for intervention exposure and batch-specific categorical period effects, a random intercept for cluster, and a random cluster-by-period effect, matching the primary analysis model structure where feasible. If this model does not converge, we will simplify the random-effects and period structure following the same sequence as for the primary outcome. The model is specified in</w:t>
      </w:r>
      <w:r>
        <w:t xml:space="preserve"> </w:t>
      </w:r>
      <w:hyperlink w:anchor="eq-length-of-stay-model">
        <w:r>
          <w:rPr>
            <w:rStyle w:val="Hyperlink"/>
          </w:rPr>
          <w:t xml:space="preserve">Equation 12</w:t>
        </w:r>
      </w:hyperlink>
      <w:r>
        <w:t xml:space="preserve">. The intervention effect</w:t>
      </w:r>
      <w:r>
        <w:t xml:space="preserve"> </w:t>
      </w:r>
      <m:oMath>
        <m:r>
          <m:t>θ</m:t>
        </m:r>
      </m:oMath>
      <w:r>
        <w:t xml:space="preserve"> </w:t>
      </w:r>
      <w:r>
        <w:t xml:space="preserve">is the log rate ratio for ED length of stay associated with ATLS® exposure compared with standard care; we will also report the corresponding multiplicative effect on the mean count (rate ratio).</w:t>
      </w:r>
    </w:p>
    <w:p>
      <w:pPr>
        <w:pStyle w:val="BodyText"/>
      </w:pPr>
      <w:bookmarkStart w:id="114" w:name="eq-length-of-stay-model"/>
      <m:oMathPara>
        <m:oMathParaPr>
          <m:jc m:val="center"/>
        </m:oMathParaPr>
        <m:oMath>
          <m:r>
            <m:rPr>
              <m:sty m:val="p"/>
            </m:rPr>
            <m:t>log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4"/>
    </w:p>
    <w:p>
      <w:pPr>
        <w:pStyle w:val="FirstParagraph"/>
      </w:pPr>
      <w:r>
        <w:t xml:space="preserve">Where</w:t>
      </w:r>
      <w:r>
        <w:t xml:space="preserve"> </w:t>
      </w:r>
      <m:oMath>
        <m:sSub>
          <m:e>
            <m:r>
              <m:t>Y</m:t>
            </m:r>
          </m:e>
          <m:sub>
            <m:r>
              <m:t>b</m:t>
            </m:r>
            <m:r>
              <m:t>k</m:t>
            </m:r>
            <m:r>
              <m:t>t</m:t>
            </m:r>
            <m:r>
              <m:t>i</m:t>
            </m:r>
          </m:sub>
        </m:sSub>
      </m:oMath>
      <w:r>
        <w:t xml:space="preserve"> </w:t>
      </w:r>
      <w:r>
        <w:t xml:space="preserve">is the length-of-stay count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and all other terms are defined as in the primary analysis model. A dispersion parameter will be estimated as part of the negative binomial model.</w:t>
      </w:r>
    </w:p>
    <w:bookmarkEnd w:id="115"/>
    <w:bookmarkStart w:id="116" w:name="length-of-hospital-stay"/>
    <w:p>
      <w:pPr>
        <w:pStyle w:val="Heading3"/>
      </w:pPr>
      <w:r>
        <w:t xml:space="preserve">5.11.6 Length of hospital stay</w:t>
      </w:r>
    </w:p>
    <w:p>
      <w:pPr>
        <w:pStyle w:val="FirstParagraph"/>
      </w:pPr>
      <w:r>
        <w:t xml:space="preserve">Length of hospital stay will be analysed as a count outcome: the number of days from arrival at the emergency department to hospital discharge (or death in hospital).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ED length of stay.</w:t>
      </w:r>
    </w:p>
    <w:bookmarkEnd w:id="116"/>
    <w:bookmarkStart w:id="117"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 Patients who die or are transferred without ICU admission will be classified according to whether ICU admission occurred before that event.</w:t>
      </w:r>
    </w:p>
    <w:bookmarkEnd w:id="117"/>
    <w:bookmarkStart w:id="118" w:name="length-of-intensive-care-unit-stay"/>
    <w:p>
      <w:pPr>
        <w:pStyle w:val="Heading3"/>
      </w:pPr>
      <w:r>
        <w:t xml:space="preserve">5.11.8 Length of intensive care unit stay</w:t>
      </w:r>
    </w:p>
    <w:p>
      <w:pPr>
        <w:pStyle w:val="FirstParagraph"/>
      </w:pPr>
      <w:r>
        <w:t xml:space="preserve">Length of intensive care unit stay will be analysed as a count outcome among patients admitted to ICU: the number of days from ICU admission to ICU discharge (or death in ICU).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the other length-of-stay outcomes.</w:t>
      </w:r>
    </w:p>
    <w:bookmarkEnd w:id="118"/>
    <w:bookmarkStart w:id="120"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within the nested staircase design, in both the standard care and ATLS® periods, using a 14-item checklist that covers the key steps of the ATLS® primary survey. Adherence will be measured as the percentage of completed checklist items (completion of all 14 steps corresponds to 100% adherence). For these analyses, period effects are defined on the global study timeline (not separately within each batch), and not all clusters contribute data in every period. This outcome will be analysed using a mixed-effects beta regression model with a logit link, with the percentage first expressed as a proportion on the 0–1 scale:</w:t>
      </w:r>
    </w:p>
    <w:p>
      <w:pPr>
        <w:pStyle w:val="BodyText"/>
      </w:pPr>
      <w:bookmarkStart w:id="119"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13</m:t>
              </m:r>
            </m:e>
          </m:d>
        </m:oMath>
      </m:oMathPara>
      <w:bookmarkEnd w:id="119"/>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0"/>
    <w:bookmarkEnd w:id="121"/>
    <w:bookmarkEnd w:id="122"/>
    <w:bookmarkStart w:id="125" w:name="supplementary-tables"/>
    <w:p>
      <w:pPr>
        <w:pStyle w:val="Heading1"/>
      </w:pPr>
      <w:r>
        <w:t xml:space="preserve">6. Supplementary tables</w:t>
      </w:r>
    </w:p>
    <w:tbl>
      <w:tblPr>
        <w:tblStyle w:val="Table"/>
        <w:tblW w:type="pct" w:w="5000"/>
        <w:tblLayout w:type="fixed"/>
        <w:tblLook w:firstRow="0" w:lastRow="0" w:firstColumn="0" w:lastColumn="0" w:noHBand="0" w:noVBand="0" w:val="0000"/>
      </w:tblPr>
      <w:tblGrid>
        <w:gridCol w:w="7920"/>
      </w:tblGrid>
      <w:tr>
        <w:tc>
          <w:tcPr/>
          <w:bookmarkStart w:id="123" w:name="tbl-patient-characteristics-all"/>
          <w:p>
            <w:pPr>
              <w:jc w:val="center"/>
            </w:pPr>
            <w:pPr>
              <w:jc w:val="left"/>
              <w:spacing w:before="200"/>
              <w:pStyle w:val="ImageCaption"/>
            </w:pPr>
            <w:r>
              <w:t xml:space="preserve">Table 5: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4" w:name="tbl-outcomes-descriptive-all"/>
          <w:p>
            <w:pPr>
              <w:jc w:val="center"/>
            </w:pPr>
            <w:pPr>
              <w:jc w:val="left"/>
              <w:spacing w:before="200"/>
              <w:pStyle w:val="ImageCaption"/>
            </w:pPr>
            <w:r>
              <w:t xml:space="preserve">Table 6: Descriptive summaries of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4"/>
        </w:tc>
      </w:tr>
    </w:tbl>
    <w:bookmarkEnd w:id="125"/>
    <w:bookmarkStart w:id="147" w:name="references"/>
    <w:p>
      <w:pPr>
        <w:pStyle w:val="Heading1"/>
      </w:pPr>
      <w:r>
        <w:t xml:space="preserve">7. References</w:t>
      </w:r>
    </w:p>
    <w:bookmarkStart w:id="146" w:name="refs"/>
    <w:bookmarkStart w:id="126"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26"/>
    <w:bookmarkStart w:id="127"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27"/>
    <w:bookmarkStart w:id="128"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28"/>
    <w:bookmarkStart w:id="129"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9"/>
    <w:bookmarkStart w:id="130"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30"/>
    <w:bookmarkStart w:id="131"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31"/>
    <w:bookmarkStart w:id="132"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2"/>
    <w:bookmarkStart w:id="133"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3"/>
    <w:bookmarkStart w:id="134"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4"/>
    <w:bookmarkStart w:id="135"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5"/>
    <w:bookmarkStart w:id="136"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36"/>
    <w:bookmarkStart w:id="137"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37"/>
    <w:bookmarkStart w:id="138"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38"/>
    <w:bookmarkStart w:id="139"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9"/>
    <w:bookmarkStart w:id="140"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40"/>
    <w:bookmarkStart w:id="141"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41"/>
    <w:bookmarkStart w:id="142"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2"/>
    <w:bookmarkStart w:id="143"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3"/>
    <w:bookmarkStart w:id="144"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4"/>
    <w:bookmarkStart w:id="145"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2026-07-28T04:30:49Z</dcterms:created>
  <dcterms:modified xsi:type="dcterms:W3CDTF">2026-07-28T04:30:49Z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