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23.png" ContentType="image/png"/>
  <Override PartName="/word/media/rId145.png" ContentType="image/png"/>
  <Override PartName="/word/media/rId153.png" ContentType="image/png"/>
  <Override PartName="/word/media/rId149.png" ContentType="image/png"/>
  <Override PartName="/word/media/rId165.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4"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bookmarkEnd w:id="42"/>
    <w:bookmarkStart w:id="43" w:name="X662c2d66dd1eda3268d2087202c966cd73b2601"/>
    <w:p>
      <w:pPr>
        <w:pStyle w:val="Heading2"/>
      </w:pPr>
      <w:r>
        <w:t xml:space="preserve">1.4 Use of generative artificial intelligence</w:t>
      </w:r>
    </w:p>
    <w:p>
      <w:pPr>
        <w:pStyle w:val="FirstParagraph"/>
      </w:pPr>
      <w:r>
        <w:t xml:space="preserve">Generative artificial intelligence tools, including large language models accessed via Cursor, were used to assist with drafting, revising, and formatting this statistical analysis plan. All substantive statistical content was reviewed and approved by the authors, who take full responsibility for the final document.</w:t>
      </w:r>
    </w:p>
    <w:p>
      <w:r>
        <w:br w:type="page"/>
      </w:r>
    </w:p>
    <w:bookmarkEnd w:id="43"/>
    <w:bookmarkEnd w:id="44"/>
    <w:bookmarkStart w:id="48" w:name="introduction"/>
    <w:p>
      <w:pPr>
        <w:pStyle w:val="Heading1"/>
      </w:pPr>
      <w:r>
        <w:t xml:space="preserve">2. Introduction</w:t>
      </w:r>
    </w:p>
    <w:bookmarkStart w:id="45" w:name="trial-synopsis"/>
    <w:p>
      <w:pPr>
        <w:pStyle w:val="Heading2"/>
      </w:pPr>
      <w:r>
        <w:t xml:space="preserve">2.1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5"/>
    <w:bookmarkStart w:id="46" w:name="special-considerations"/>
    <w:p>
      <w:pPr>
        <w:pStyle w:val="Heading2"/>
      </w:pPr>
      <w:r>
        <w:t xml:space="preserve">2.2 Special considerations</w:t>
      </w:r>
    </w:p>
    <w:bookmarkEnd w:id="46"/>
    <w:bookmarkStart w:id="47" w:name="funding"/>
    <w:p>
      <w:pPr>
        <w:pStyle w:val="Heading2"/>
      </w:pPr>
      <w:r>
        <w:t xml:space="preserve">2.3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7"/>
    <w:bookmarkEnd w:id="48"/>
    <w:bookmarkStart w:id="52" w:name="aim-and-objectives"/>
    <w:p>
      <w:pPr>
        <w:pStyle w:val="Heading1"/>
      </w:pPr>
      <w:r>
        <w:t xml:space="preserve">3. Aim and objectives</w:t>
      </w:r>
    </w:p>
    <w:bookmarkStart w:id="49" w:name="aim"/>
    <w:p>
      <w:pPr>
        <w:pStyle w:val="Heading2"/>
      </w:pPr>
      <w:r>
        <w:t xml:space="preserve">3.1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9"/>
    <w:bookmarkStart w:id="50" w:name="objectives"/>
    <w:p>
      <w:pPr>
        <w:pStyle w:val="Heading2"/>
      </w:pPr>
      <w:r>
        <w:t xml:space="preserve">3.2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50"/>
    <w:bookmarkStart w:id="51" w:name="framework"/>
    <w:p>
      <w:pPr>
        <w:pStyle w:val="Heading2"/>
      </w:pPr>
      <w:r>
        <w:t xml:space="preserve">3.3 Framework</w:t>
      </w:r>
    </w:p>
    <w:p>
      <w:pPr>
        <w:pStyle w:val="FirstParagraph"/>
      </w:pPr>
      <w:r>
        <w:t xml:space="preserve">We have designed and will analyse the trial within a superiority framework, with ATLS® training compared with standard care for the primary and secondary outcomes.</w:t>
      </w:r>
    </w:p>
    <w:bookmarkEnd w:id="51"/>
    <w:bookmarkEnd w:id="52"/>
    <w:bookmarkStart w:id="73" w:name="study-design"/>
    <w:p>
      <w:pPr>
        <w:pStyle w:val="Heading1"/>
      </w:pPr>
      <w:r>
        <w:t xml:space="preserve">4. Study design</w:t>
      </w:r>
    </w:p>
    <w:bookmarkStart w:id="61" w:name="trial-design"/>
    <w:p>
      <w:pPr>
        <w:pStyle w:val="Heading2"/>
      </w:pPr>
      <w:r>
        <w:t xml:space="preserve">4.1 Trial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Each cluster is a hospital and represents the unit for randomisation, even if one or more units are trained in the same hospital. There are two intervention conditions: ATLS® training and standard care.</w:t>
      </w:r>
    </w:p>
    <w:p>
      <w:pPr>
        <w:pStyle w:val="BodyText"/>
      </w:pPr>
      <w:r>
        <w:t xml:space="preserve">The trial will be composed of 6 batches of identical 12-period 5-sequence designs, with one cluster allocated to each sequence of each batch (equal allocation across sequences)</w:t>
      </w:r>
      <w:r>
        <w:rPr>
          <w:vertAlign w:val="superscript"/>
        </w:rPr>
        <w:t xml:space="preserve">1</w:t>
      </w:r>
      <w:r>
        <w:t xml:space="preserve">. Each period is one month, and each cluster will be in the trial for a total of 13 months. Clusters are repeatedly measured across periods. The intervention will be implemented during a one-month transition period, which will be excluded from the analysis. There will be an anticipated overlap of 6 months between successive batches.</w:t>
      </w:r>
    </w:p>
    <w:p>
      <w:pPr>
        <w:pStyle w:val="BodyText"/>
      </w:pPr>
      <w:r>
        <w:t xml:space="preserve">Clusters will be sequentially allocated to batches based on when they enter the study, and within each batch clusters will then be randomised to an intervention implementation sequence. Individual patients will be included cross-sectionally for the primary outcome, although some secondary outcomes will be assessed at multiple follow-up time points. The anticipated trial period is from February 2025 to October 2029.</w:t>
      </w:r>
    </w:p>
    <w:tbl>
      <w:tblPr>
        <w:tblStyle w:val="Table"/>
        <w:tblW w:type="pct" w:w="5000"/>
        <w:tblLayout w:type="fixed"/>
        <w:tblLook w:firstRow="0" w:lastRow="0" w:firstColumn="0" w:lastColumn="0" w:noHBand="0" w:noVBand="0" w:val="0000"/>
      </w:tblPr>
      <w:tblGrid>
        <w:gridCol w:w="7920"/>
      </w:tblGrid>
      <w:tr>
        <w:tc>
          <w:tcPr/>
          <w:bookmarkStart w:id="56" w:name="fig-trial-design"/>
          <w:p>
            <w:pPr>
              <w:pStyle w:val="Compact"/>
              <w:jc w:val="center"/>
            </w:pPr>
            <w:r>
              <w:drawing>
                <wp:inline>
                  <wp:extent cx="5334000" cy="3198592"/>
                  <wp:effectExtent b="0" l="0" r="0" t="0"/>
                  <wp:docPr descr="" title="" id="54" name="Picture"/>
                  <a:graphic>
                    <a:graphicData uri="http://schemas.openxmlformats.org/drawingml/2006/picture">
                      <pic:pic>
                        <pic:nvPicPr>
                          <pic:cNvPr descr="trial-design-figure-30-clusters-5-sequences-6-batches-6-batches-overlap-4-min-standard-care-4-min-intervention-1-transition-months-0-transition-overlap.0-staircase-months.png" id="55" name="Picture"/>
                          <pic:cNvPicPr>
                            <a:picLocks noChangeArrowheads="1" noChangeAspect="1"/>
                          </pic:cNvPicPr>
                        </pic:nvPicPr>
                        <pic:blipFill>
                          <a:blip r:embed="rId53"/>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inclusion across clusters and phases. Clusters will be sequentially allocated to a batch based on when they enter the study. Within each batch clusters will then be randomised to an intervention implementation sequence.</w:t>
            </w:r>
          </w:p>
          <w:bookmarkEnd w:id="56"/>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60" w:name="fig-nested-staircase-design"/>
          <w:p>
            <w:pPr>
              <w:pStyle w:val="Compact"/>
              <w:jc w:val="center"/>
            </w:pPr>
            <w:r>
              <w:drawing>
                <wp:inline>
                  <wp:extent cx="5334000" cy="3198592"/>
                  <wp:effectExtent b="0" l="0" r="0" t="0"/>
                  <wp:docPr descr="" title="" id="58" name="Picture"/>
                  <a:graphic>
                    <a:graphicData uri="http://schemas.openxmlformats.org/drawingml/2006/picture">
                      <pic:pic>
                        <pic:nvPicPr>
                          <pic:cNvPr descr="trial-design-figure-30-clusters-5-sequences-6-batches-6-batches-overlap-4-min-standard-care-4-min-intervention-1-transition-months-0-transition-overlap.3-staircase-months.png" id="59" name="Picture"/>
                          <pic:cNvPicPr>
                            <a:picLocks noChangeArrowheads="1" noChangeAspect="1"/>
                          </pic:cNvPicPr>
                        </pic:nvPicPr>
                        <pic:blipFill>
                          <a:blip r:embed="rId57"/>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60"/>
        </w:tc>
      </w:tr>
    </w:tbl>
    <w:bookmarkEnd w:id="61"/>
    <w:bookmarkStart w:id="62" w:name="intervention-and-control-treatment"/>
    <w:p>
      <w:pPr>
        <w:pStyle w:val="Heading2"/>
      </w:pPr>
      <w:r>
        <w:t xml:space="preserve">4.2 Intervention and control treatment</w:t>
      </w:r>
    </w:p>
    <w:p>
      <w:pPr>
        <w:pStyle w:val="FirstParagraph"/>
      </w:pPr>
      <w:r>
        <w:t xml:space="preserve">The intervention will be ATLS</w:t>
      </w:r>
      <w:r>
        <w:rPr>
          <w:vertAlign w:val="superscript"/>
        </w:rPr>
        <w:t xml:space="preserve">®</w:t>
      </w:r>
      <w:r>
        <w:t xml:space="preserve"> </w:t>
      </w:r>
      <w:r>
        <w:t xml:space="preserve">training. The control will be standard care, meaning no formal trauma life support training. We will train the physicians that initially resuscitate and provide trauma care during the first hour after patient arrival at the emergency department. These physicians can be casualty medical officers, surgical residents, or emergency medicine residents, depending on the setup at each participating centre. The training will occur during the transition phase in each cluster. Our experience from our pilot study is that study sites adhere to the training slot alloted to them through the trial, so we judge the risk of clusters implementing ATLS</w:t>
      </w:r>
      <w:r>
        <w:rPr>
          <w:vertAlign w:val="superscript"/>
        </w:rPr>
        <w:t xml:space="preserve">®</w:t>
      </w:r>
      <w:r>
        <w:t xml:space="preserve"> </w:t>
      </w:r>
      <w:r>
        <w:t xml:space="preserve">before their randomised implementation sequence as very low.</w:t>
      </w:r>
    </w:p>
    <w:p>
      <w:pPr>
        <w:pStyle w:val="BodyText"/>
      </w:pPr>
      <w:r>
        <w:t xml:space="preserve">We will train the number units of physicians needed to reach the required patient sample size, but estimate that this will require training an average of ten physicians per hospital, which on average should be mean that we can train one to two units per hospital. This is possible because many hospitals in India organise physicians staffing their emergency departments in units, and the physicians in the same unit work together in the emergency department on the same days of the week. We will therefore collect data only on the days when these units work. The units selected to constitute a cluster from each hospital will be a convenience sample out of all eligible units in those hospitals.</w:t>
      </w:r>
    </w:p>
    <w:p>
      <w:pPr>
        <w:pStyle w:val="BodyText"/>
      </w:pPr>
      <w:r>
        <w:rPr>
          <w:b/>
          <w:bCs/>
        </w:rPr>
        <w:t xml:space="preserve">Advanced Trauma Life Support</w:t>
      </w:r>
      <w:r>
        <w:rPr>
          <w:b/>
          <w:bCs/>
          <w:vertAlign w:val="superscript"/>
        </w:rPr>
        <w:t xml:space="preserve">®</w:t>
      </w:r>
      <w:r>
        <w:rPr>
          <w:b/>
          <w:bCs/>
        </w:rPr>
        <w:t xml:space="preserve"> </w:t>
      </w:r>
      <w:r>
        <w:rPr>
          <w:b/>
          <w:bCs/>
        </w:rPr>
        <w:t xml:space="preserve">(ATLS</w:t>
      </w:r>
      <w:r>
        <w:rPr>
          <w:b/>
          <w:bCs/>
          <w:vertAlign w:val="superscript"/>
        </w:rPr>
        <w:t xml:space="preserve">®</w:t>
      </w:r>
      <w:r>
        <w:rPr>
          <w:b/>
          <w:bCs/>
        </w:rPr>
        <w:t xml:space="preserve">)</w:t>
      </w:r>
      <w:r>
        <w:rPr>
          <w:b/>
          <w:bCs/>
          <w:vertAlign w:val="superscript"/>
        </w:rPr>
        <w:t xml:space="preserve">3</w:t>
      </w:r>
      <w:r>
        <w:t xml:space="preserve"> </w:t>
      </w:r>
      <w:r>
        <w:t xml:space="preserve">is a proprietary 2.5 day course teaching a standardised approach to trauma patient care using the concepts of a primary and secondary survey. The programme was developed by the Committee of Trauma of the American College of Surgeons. The course includes intial treatment and resuscitation, triage and interfacility transfers. Leaning is based on practical scenario-driven skill stations, lectures and includes a final performance proficiency evaluation. Physicians will be trained in an accredited ATLS</w:t>
      </w:r>
      <w:r>
        <w:rPr>
          <w:vertAlign w:val="superscript"/>
        </w:rPr>
        <w:t xml:space="preserve">®</w:t>
      </w:r>
      <w:r>
        <w:t xml:space="preserve"> </w:t>
      </w:r>
      <w:r>
        <w:t xml:space="preserve">training facility in India. We will assess adherence to ATLS principles before and after implementing ATLS training.</w:t>
      </w:r>
    </w:p>
    <w:p>
      <w:pPr>
        <w:pStyle w:val="BodyText"/>
      </w:pPr>
      <w:r>
        <w:rPr>
          <w:b/>
          <w:bCs/>
        </w:rPr>
        <w:t xml:space="preserve">Standard care</w:t>
      </w:r>
      <w:r>
        <w:t xml:space="preserve"> </w:t>
      </w:r>
      <w:r>
        <w:t xml:space="preserve">varies across hospitals in India, but trauma patients are initially managed by casualty medical officers, surgical residents, or emergency medicine residents. They are mainly first- or second-year residents who resuscitate patients, perform interventions and refer patients for imaging or other investigations. Compared with other settings where a trauma team approach is adopted, nurses and other healthcare professionals are only involved to a limited extent during the initial management.</w:t>
      </w:r>
    </w:p>
    <w:bookmarkEnd w:id="62"/>
    <w:bookmarkStart w:id="63" w:name="randomisation-and-inclusion"/>
    <w:p>
      <w:pPr>
        <w:pStyle w:val="Heading2"/>
      </w:pPr>
      <w:r>
        <w:t xml:space="preserve">4.3 Randomisation and inclusion</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w:t>
      </w:r>
    </w:p>
    <w:p>
      <w:pPr>
        <w:pStyle w:val="BodyText"/>
      </w:pPr>
      <w:r>
        <w:t xml:space="preserve">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w:t>
      </w:r>
    </w:p>
    <w:p>
      <w:pPr>
        <w:pStyle w:val="BodyText"/>
      </w:pPr>
      <w:r>
        <w:t xml:space="preserve">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p>
      <w:pPr>
        <w:pStyle w:val="BodyText"/>
      </w:pPr>
      <w:r>
        <w:t xml:space="preserve">Random selection of patients for nested staircase outcome collection is separate from cluster randomisation and is described under Nested staircase design and secondary outcomes (stratified random sampling by shift).</w:t>
      </w:r>
    </w:p>
    <w:bookmarkEnd w:id="63"/>
    <w:bookmarkStart w:id="70" w:name="sample-size-calculations"/>
    <w:p>
      <w:pPr>
        <w:pStyle w:val="Heading2"/>
      </w:pPr>
      <w:r>
        <w:t xml:space="preserve">4.4 Sample size calculations</w:t>
      </w:r>
    </w:p>
    <w:p>
      <w:pPr>
        <w:pStyle w:val="FirstParagraph"/>
      </w:pPr>
      <w:r>
        <w:t xml:space="preserve">Sample size calculations were performed during the trial design phase using the Shiny CRT Calculator</w:t>
      </w:r>
      <w:r>
        <w:rPr>
          <w:vertAlign w:val="superscript"/>
        </w:rPr>
        <w:t xml:space="preserve">4</w:t>
      </w:r>
      <w:r>
        <w:t xml:space="preserve">.</w:t>
      </w:r>
    </w:p>
    <w:bookmarkStart w:id="68" w:name="Xba08c803f10f7c8cd9a777b53b902d2761b3046"/>
    <w:p>
      <w:pPr>
        <w:pStyle w:val="Heading3"/>
      </w:pPr>
      <w:r>
        <w:t xml:space="preserve">4.4.1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 </w:t>
      </w:r>
      <w:r>
        <w:t xml:space="preserve">A)</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 We also estimated the sample size required to detect a reduction in the primary outcome from 10% to 7.5%, which would require at least 30 observations per period and cluster (see</w:t>
      </w:r>
      <w:r>
        <w:t xml:space="preserve"> </w:t>
      </w:r>
      <w:hyperlink w:anchor="fig-power-curves">
        <w:r>
          <w:rPr>
            <w:rStyle w:val="Hyperlink"/>
          </w:rPr>
          <w:t xml:space="preserve">Figure 3</w:t>
        </w:r>
      </w:hyperlink>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67" w:name="fig-power-curves"/>
          <w:p>
            <w:pPr>
              <w:pStyle w:val="Compact"/>
              <w:jc w:val="center"/>
            </w:pPr>
            <w:r>
              <w:drawing>
                <wp:inline>
                  <wp:extent cx="5334000" cy="2369551"/>
                  <wp:effectExtent b="0" l="0" r="0" t="0"/>
                  <wp:docPr descr="" title="" id="65" name="Picture"/>
                  <a:graphic>
                    <a:graphicData uri="http://schemas.openxmlformats.org/drawingml/2006/picture">
                      <pic:pic>
                        <pic:nvPicPr>
                          <pic:cNvPr descr="./combined-power-curves.png" id="66" name="Picture"/>
                          <pic:cNvPicPr>
                            <a:picLocks noChangeArrowheads="1" noChangeAspect="1"/>
                          </pic:cNvPicPr>
                        </pic:nvPicPr>
                        <pic:blipFill>
                          <a:blip r:embed="rId64"/>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 under most combinations of CAC and ICC.</w:t>
            </w:r>
          </w:p>
          <w:bookmarkEnd w:id="67"/>
        </w:tc>
      </w:tr>
    </w:tbl>
    <w:bookmarkEnd w:id="68"/>
    <w:bookmarkStart w:id="69" w:name="X37fc7b5fe6b5980542d53d3e88dadde59566406"/>
    <w:p>
      <w:pPr>
        <w:pStyle w:val="Heading3"/>
      </w:pPr>
      <w:r>
        <w:t xml:space="preserve">4.4.2 Nested staircase design and secondary outcomes</w:t>
      </w:r>
    </w:p>
    <w:p>
      <w:pPr>
        <w:pStyle w:val="FirstParagraph"/>
      </w:pPr>
      <w:r>
        <w:t xml:space="preserve">The secondary outcomes measured using the nested staircase design are adherence to ATLS</w:t>
      </w:r>
      <w:r>
        <w:rPr>
          <w:vertAlign w:val="superscript"/>
        </w:rPr>
        <w:t xml:space="preserve">®</w:t>
      </w:r>
      <w:r>
        <w:t xml:space="preserve"> </w:t>
      </w:r>
      <w:r>
        <w:t xml:space="preserve">principles during initial patient resuscitation, quality of life, and disability. The power calculations presented here are intended only to inform the sample size required for their data collection within the nested staircase design. The expected effects of the intervention on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stratified random sampling by shift,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69"/>
    <w:bookmarkEnd w:id="70"/>
    <w:bookmarkStart w:id="71" w:name="interim-analysis"/>
    <w:p>
      <w:pPr>
        <w:pStyle w:val="Heading2"/>
      </w:pPr>
      <w:r>
        <w:t xml:space="preserve">4.5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p>
      <w:pPr>
        <w:pStyle w:val="BodyText"/>
      </w:pPr>
      <w:r>
        <w:t xml:space="preserve">The Trial Team will prepare the interim analysis report for the joint Trial Steering and Data Monitoring Committee (SDMC), for approval by the Trial Management Group before circulation. The report will follow the standard SDMC report template in the SDMC charter and will include:</w:t>
      </w:r>
    </w:p>
    <w:p>
      <w:pPr>
        <w:pStyle w:val="Compact"/>
        <w:numPr>
          <w:ilvl w:val="0"/>
          <w:numId w:val="1003"/>
        </w:numPr>
      </w:pPr>
      <w:r>
        <w:t xml:space="preserve">trial progress: numbers of clusters included and dropping out; numbers of potentially eligible participants screened, participants included, participants who did not consent to out-of-hospital follow-up, and participants lost to follow-up, overall and by intervention condition;</w:t>
      </w:r>
    </w:p>
    <w:p>
      <w:pPr>
        <w:pStyle w:val="Compact"/>
        <w:numPr>
          <w:ilvl w:val="0"/>
          <w:numId w:val="1003"/>
        </w:numPr>
      </w:pPr>
      <w:r>
        <w:t xml:space="preserve">adherence to the randomisation schedule and reasons for non-adherence;</w:t>
      </w:r>
    </w:p>
    <w:p>
      <w:pPr>
        <w:pStyle w:val="Compact"/>
        <w:numPr>
          <w:ilvl w:val="0"/>
          <w:numId w:val="1003"/>
        </w:numPr>
      </w:pPr>
      <w:r>
        <w:t xml:space="preserve">summary statistics of included clusters and patient participants by intervention condition, to monitor for differential recruitment or ascertainment;</w:t>
      </w:r>
    </w:p>
    <w:p>
      <w:pPr>
        <w:pStyle w:val="Compact"/>
        <w:numPr>
          <w:ilvl w:val="0"/>
          <w:numId w:val="1003"/>
        </w:numPr>
      </w:pPr>
      <w:r>
        <w:t xml:space="preserve">completeness of primary and secondary outcome data, overall and by intervention condition, without presenting outcome values by intervention condition;</w:t>
      </w:r>
    </w:p>
    <w:p>
      <w:pPr>
        <w:pStyle w:val="Compact"/>
        <w:numPr>
          <w:ilvl w:val="0"/>
          <w:numId w:val="1003"/>
        </w:numPr>
      </w:pPr>
      <w:r>
        <w:t xml:space="preserve">ATLS® training delivery, including numbers of physicians trained in each hospital;</w:t>
      </w:r>
    </w:p>
    <w:p>
      <w:pPr>
        <w:pStyle w:val="Compact"/>
        <w:numPr>
          <w:ilvl w:val="0"/>
          <w:numId w:val="1003"/>
        </w:numPr>
      </w:pPr>
      <w:r>
        <w:t xml:space="preserve">protocol deviations and proposed protocol amendments;</w:t>
      </w:r>
    </w:p>
    <w:p>
      <w:pPr>
        <w:pStyle w:val="Compact"/>
        <w:numPr>
          <w:ilvl w:val="0"/>
          <w:numId w:val="1003"/>
        </w:numPr>
      </w:pPr>
      <w:r>
        <w:t xml:space="preserve">safety events, as defined for SDMC monitoring;</w:t>
      </w:r>
    </w:p>
    <w:p>
      <w:pPr>
        <w:pStyle w:val="Compact"/>
        <w:numPr>
          <w:ilvl w:val="0"/>
          <w:numId w:val="1003"/>
        </w:numPr>
      </w:pPr>
      <w:r>
        <w:t xml:space="preserve">relevant external evidence; and</w:t>
      </w:r>
    </w:p>
    <w:p>
      <w:pPr>
        <w:pStyle w:val="Compact"/>
        <w:numPr>
          <w:ilvl w:val="0"/>
          <w:numId w:val="1003"/>
        </w:numPr>
      </w:pPr>
      <w:r>
        <w:t xml:space="preserve">the SDMC recommendation.</w:t>
      </w:r>
    </w:p>
    <w:p>
      <w:pPr>
        <w:pStyle w:val="FirstParagraph"/>
      </w:pPr>
      <w:r>
        <w:t xml:space="preserve">Outcomes will not be compared across intervention conditions in the interim report, to avoid biasing the SDMC or Trial Management Group. The SDMC will use the interim report to advise whether the trial remains feasible and should continue as planned.</w:t>
      </w:r>
    </w:p>
    <w:bookmarkEnd w:id="71"/>
    <w:bookmarkStart w:id="72" w:name="final-analysis"/>
    <w:p>
      <w:pPr>
        <w:pStyle w:val="Heading2"/>
      </w:pPr>
      <w:r>
        <w:t xml:space="preserve">4.6 Final analysis</w:t>
      </w:r>
    </w:p>
    <w:p>
      <w:pPr>
        <w:pStyle w:val="FirstParagraph"/>
      </w:pPr>
      <w:r>
        <w:t xml:space="preserve">Primary and secondary outcomes will be analysed collectively in a single final analysis once all trial data are available.</w:t>
      </w:r>
    </w:p>
    <w:bookmarkEnd w:id="72"/>
    <w:bookmarkEnd w:id="73"/>
    <w:bookmarkStart w:id="80" w:name="statistical-principles"/>
    <w:p>
      <w:pPr>
        <w:pStyle w:val="Heading1"/>
      </w:pPr>
      <w:r>
        <w:t xml:space="preserve">5. Statistical principles</w:t>
      </w:r>
    </w:p>
    <w:bookmarkStart w:id="74" w:name="statistical-hypotheses"/>
    <w:p>
      <w:pPr>
        <w:pStyle w:val="Heading2"/>
      </w:pPr>
      <w:r>
        <w:t xml:space="preserve">5.1 Statistical hypotheses</w:t>
      </w:r>
    </w:p>
    <w:p>
      <w:pPr>
        <w:pStyle w:val="FirstParagraph"/>
      </w:pPr>
      <w:r>
        <w:t xml:space="preserve">The primary analysis will estimate the effect of ATLS training on 30-day in-hospital mortality compared with standard care. The treatment effect will be expressed as an odds ratio (OR) and as an absolute risk difference (ARD). An OR &lt; 1 or ARD &lt; 0 indicates lower mortality among patients treated in hospitals after ATLS implementation compared with standard care. Based on our pilot study and systematic review of the literature, we expect the intervention to reduce mortality.</w:t>
      </w:r>
    </w:p>
    <w:bookmarkEnd w:id="74"/>
    <w:bookmarkStart w:id="75" w:name="Xb3701c3e4f516f3436ab2f14fbfd68958c11744"/>
    <w:p>
      <w:pPr>
        <w:pStyle w:val="Heading2"/>
      </w:pPr>
      <w:r>
        <w:t xml:space="preserve">5.2 Levels of statistical significance and confidence</w:t>
      </w:r>
    </w:p>
    <w:p>
      <w:pPr>
        <w:pStyle w:val="FirstParagraph"/>
      </w:pPr>
      <w:r>
        <w:t xml:space="preserve">We will use a two-sided significance level of 0.05 for all analyses, and we will report 95% confidence intervals (CI) for all estimates.</w:t>
      </w:r>
    </w:p>
    <w:bookmarkEnd w:id="75"/>
    <w:bookmarkStart w:id="76" w:name="type-1-error-control"/>
    <w:p>
      <w:pPr>
        <w:pStyle w:val="Heading2"/>
      </w:pPr>
      <w:r>
        <w:t xml:space="preserve">5.3 Type 1 error control</w:t>
      </w:r>
    </w:p>
    <w:p>
      <w:pPr>
        <w:pStyle w:val="FirstParagraph"/>
      </w:pPr>
      <w:r>
        <w:t xml:space="preserve">We will not adjust for multiple testing because no secondary outcome is regarded as singularly more important.</w:t>
      </w:r>
    </w:p>
    <w:bookmarkEnd w:id="76"/>
    <w:bookmarkStart w:id="79" w:name="adherence-and-protocol-deviations"/>
    <w:p>
      <w:pPr>
        <w:pStyle w:val="Heading2"/>
      </w:pPr>
      <w:r>
        <w:t xml:space="preserve">5.4 Adherence and Protocol deviations</w:t>
      </w:r>
    </w:p>
    <w:bookmarkStart w:id="77" w:name="adherence-to-the-intervention"/>
    <w:p>
      <w:pPr>
        <w:pStyle w:val="Heading3"/>
      </w:pPr>
      <w:r>
        <w:t xml:space="preserve">5.4.1 Adherence to the intervention</w:t>
      </w:r>
    </w:p>
    <w:p>
      <w:pPr>
        <w:pStyle w:val="FirstParagraph"/>
      </w:pPr>
      <w:r>
        <w:t xml:space="preserve">Adherence to the intervention is defined at the cluster and individual levels and is distinct from the secondary outcome adherence to ATLS® principles during resuscitation (see Analysis of secondary outcomes).</w:t>
      </w:r>
    </w:p>
    <w:p>
      <w:pPr>
        <w:pStyle w:val="BodyText"/>
      </w:pPr>
      <w:r>
        <w:t xml:space="preserve">At the cluster level, adherence means that ATLS® training is delivered during the scheduled transition period for that cluster’s randomised sequence, and that the cluster does not implement ATLS® training before its scheduled transition. We will assess cluster level adherence using the training log kept by the trial team. We will summarise cluster-level adherence descriptively, including the number and proportion of clusters that completed training as scheduled and the reasons for any non-adherence to the randomisation schedule. Adherence to the randomisation schedule is also reviewed at the interim analysis (see Interim analysis).</w:t>
      </w:r>
    </w:p>
    <w:p>
      <w:pPr>
        <w:pStyle w:val="BodyText"/>
      </w:pPr>
      <w:r>
        <w:t xml:space="preserve">At the individual level, exposure to the intervention is defined by the cluster’s scheduled transition date, as specified under Analysis sets. Patients are classified according to the period of admission, and the primary analysis includes eligible patients irrespective of whether care was delivered by a trained physician. If a cluster’s actual transition date differs from the scheduled date by more than four weeks, exposure will be redefined using the actual transition date in a sensitivity analysis (see Analysis sets).</w:t>
      </w:r>
    </w:p>
    <w:p>
      <w:pPr>
        <w:pStyle w:val="BodyText"/>
      </w:pPr>
      <w:r>
        <w:t xml:space="preserve">Process adherence to ATLS® principles during initial resuscitation is a nested-staircase secondary outcome and is defined and analysed in the Outcomes and Analysis of secondary outcomes sections; it is not used to exclude patients from the primary analysis.</w:t>
      </w:r>
    </w:p>
    <w:bookmarkEnd w:id="77"/>
    <w:bookmarkStart w:id="78" w:name="protocol-deviations"/>
    <w:p>
      <w:pPr>
        <w:pStyle w:val="Heading3"/>
      </w:pPr>
      <w:r>
        <w:t xml:space="preserve">5.4.2 Protocol deviations</w:t>
      </w:r>
    </w:p>
    <w:p>
      <w:pPr>
        <w:pStyle w:val="FirstParagraph"/>
      </w:pPr>
      <w:r>
        <w:t xml:space="preserve">A protocol deviation is any departure from the approved trial protocol, ICH-GCP, or applicable regulations. Consistent with the protocol, serious breaches and deviations that significantly affect, or are likely to affect, participant safety or integrity or the reliability of trial data will be reported without delay to the sponsor for assessment. Minor deviations that do not affect participant safety or integrity and do not materially affect the scientific value of the trial will be documented in the trial records of the principal investigator and the sponsor.</w:t>
      </w:r>
    </w:p>
    <w:p>
      <w:pPr>
        <w:pStyle w:val="BodyText"/>
      </w:pPr>
      <w:r>
        <w:t xml:space="preserve">Protocol deviations will be summarised descriptively for the final analysis (and reviewed at interim analysis), overall and by intervention condition where informative, including counts by type (cluster-level versus individual-level, and serious versus minor where classified) and narrative reasons. Deviations will not be used to exclude clusters or patients from the primary analysis; the primary analysis remains based on scheduled intervention exposure and available outcome data as specified under Analysis sets.</w:t>
      </w:r>
    </w:p>
    <w:bookmarkEnd w:id="78"/>
    <w:bookmarkEnd w:id="79"/>
    <w:bookmarkEnd w:id="80"/>
    <w:bookmarkStart w:id="94" w:name="trial-sample"/>
    <w:p>
      <w:pPr>
        <w:pStyle w:val="Heading1"/>
      </w:pPr>
      <w:r>
        <w:t xml:space="preserve">6. Trial sample</w:t>
      </w:r>
    </w:p>
    <w:bookmarkStart w:id="89" w:name="sec-eligibility-criteria"/>
    <w:p>
      <w:pPr>
        <w:pStyle w:val="Heading2"/>
      </w:pPr>
      <w:r>
        <w:t xml:space="preserve">6.1 Eligibility criteria</w:t>
      </w:r>
    </w:p>
    <w:p>
      <w:pPr>
        <w:pStyle w:val="FirstParagraph"/>
      </w:pPr>
      <w:r>
        <w:t xml:space="preserve">Our trial has eligibility criteria on the cluster and patient participant level. Below follow a summary of the eligibility criteria, full details are provided in the protocol.</w:t>
      </w:r>
    </w:p>
    <w:bookmarkStart w:id="85" w:name="cluster-eligibility-criteria"/>
    <w:p>
      <w:pPr>
        <w:pStyle w:val="Heading3"/>
      </w:pPr>
      <w:r>
        <w:t xml:space="preserve">6.1.1 Cluster eligibility criteria</w:t>
      </w:r>
    </w:p>
    <w:bookmarkStart w:id="81" w:name="inclusion-criteria"/>
    <w:p>
      <w:pPr>
        <w:pStyle w:val="Heading4"/>
      </w:pPr>
      <w:r>
        <w:t xml:space="preserve">6.1.1.1 Inclusion criteria</w:t>
      </w:r>
    </w:p>
    <w:p>
      <w:pPr>
        <w:pStyle w:val="FirstParagraph"/>
      </w:pPr>
      <w:r>
        <w:rPr>
          <w:b/>
          <w:bCs/>
        </w:rPr>
        <w:t xml:space="preserve">Clusters</w:t>
      </w:r>
      <w:r>
        <w:t xml:space="preserve"> </w:t>
      </w:r>
      <w:r>
        <w:t xml:space="preserve">must meet the following criteria:</w:t>
      </w:r>
    </w:p>
    <w:p>
      <w:pPr>
        <w:pStyle w:val="Compact"/>
        <w:numPr>
          <w:ilvl w:val="0"/>
          <w:numId w:val="1004"/>
        </w:numPr>
      </w:pPr>
      <w:r>
        <w:t xml:space="preserve">admit or refer/transfer for admission at least 400 patients with trauma per year or 35 patients with trauma per month for at least the last six months;</w:t>
      </w:r>
    </w:p>
    <w:p>
      <w:pPr>
        <w:pStyle w:val="Compact"/>
        <w:numPr>
          <w:ilvl w:val="0"/>
          <w:numId w:val="1004"/>
        </w:numPr>
      </w:pPr>
      <w:r>
        <w:t xml:space="preserve">provide surgical and orthopaedic emergency services around the clock; and</w:t>
      </w:r>
    </w:p>
    <w:p>
      <w:pPr>
        <w:pStyle w:val="Compact"/>
        <w:numPr>
          <w:ilvl w:val="0"/>
          <w:numId w:val="1004"/>
        </w:numPr>
      </w:pPr>
      <w:r>
        <w:t xml:space="preserve">have at most 25% of physicians providing initial trauma care trained in a formalised trauma life support training programme, like ATLS</w:t>
      </w:r>
      <w:r>
        <w:rPr>
          <w:vertAlign w:val="superscript"/>
        </w:rPr>
        <w:t xml:space="preserve">®</w:t>
      </w:r>
      <w:r>
        <w:t xml:space="preserve"> </w:t>
      </w:r>
      <w:r>
        <w:t xml:space="preserve">or Primary Trauma Care (PTC).</w:t>
      </w:r>
    </w:p>
    <w:p>
      <w:pPr>
        <w:pStyle w:val="FirstParagraph"/>
      </w:pPr>
      <w:r>
        <w:t xml:space="preserve">Additionally, the units to be trained within the cluster must meet the following criteria:</w:t>
      </w:r>
    </w:p>
    <w:p>
      <w:pPr>
        <w:pStyle w:val="Compact"/>
        <w:numPr>
          <w:ilvl w:val="0"/>
          <w:numId w:val="1005"/>
        </w:numPr>
      </w:pPr>
      <w:r>
        <w:t xml:space="preserve">admits or refers/transfers for admission at least 12 patients with trauma per month for at least the last six months; and</w:t>
      </w:r>
    </w:p>
    <w:p>
      <w:pPr>
        <w:pStyle w:val="Compact"/>
        <w:numPr>
          <w:ilvl w:val="0"/>
          <w:numId w:val="1005"/>
        </w:numPr>
      </w:pPr>
      <w:r>
        <w:t xml:space="preserve">no more than 25% of physicians providing initial trauma care trained in a formalised trauma life support training programme.</w:t>
      </w:r>
    </w:p>
    <w:bookmarkEnd w:id="81"/>
    <w:bookmarkStart w:id="84" w:name="exclusion-criteria"/>
    <w:p>
      <w:pPr>
        <w:pStyle w:val="Heading4"/>
      </w:pPr>
      <w:r>
        <w:t xml:space="preserve">6.1.1.2 Exclusion criteria</w:t>
      </w:r>
    </w:p>
    <w:p>
      <w:pPr>
        <w:pStyle w:val="FirstParagraph"/>
      </w:pPr>
      <w:r>
        <w:rPr>
          <w:b/>
          <w:bCs/>
        </w:rPr>
        <w:t xml:space="preserve">Hospitals</w:t>
      </w:r>
      <w:r>
        <w:t xml:space="preserve"> </w:t>
      </w:r>
      <w:r>
        <w:t xml:space="preserve">are excluded if they meet any of the following criteria:</w:t>
      </w:r>
    </w:p>
    <w:p>
      <w:pPr>
        <w:pStyle w:val="Compact"/>
        <w:numPr>
          <w:ilvl w:val="0"/>
          <w:numId w:val="1006"/>
        </w:numPr>
      </w:pPr>
      <w:r>
        <w:t xml:space="preserve">implement a formalised trauma life support training programme</w:t>
      </w:r>
      <w:r>
        <w:t xml:space="preserve"> </w:t>
      </w:r>
      <w:r>
        <w:rPr>
          <w:rStyle w:val="FootnoteReference"/>
        </w:rPr>
        <w:footnoteReference w:id="82"/>
      </w:r>
      <w:r>
        <w:t xml:space="preserve"> </w:t>
      </w:r>
      <w:r>
        <w:t xml:space="preserve">during the trial period; or</w:t>
      </w:r>
    </w:p>
    <w:p>
      <w:pPr>
        <w:pStyle w:val="Compact"/>
        <w:numPr>
          <w:ilvl w:val="0"/>
          <w:numId w:val="1006"/>
        </w:numPr>
      </w:pPr>
      <w:r>
        <w:t xml:space="preserve">plan to implement or implement other major interventions</w:t>
      </w:r>
      <w:r>
        <w:rPr>
          <w:rStyle w:val="FootnoteReference"/>
        </w:rPr>
        <w:footnoteReference w:id="83"/>
      </w:r>
      <w:r>
        <w:t xml:space="preserve"> </w:t>
      </w:r>
      <w:r>
        <w:t xml:space="preserve">that affects trauma care during the trial period.</w:t>
      </w:r>
    </w:p>
    <w:bookmarkEnd w:id="84"/>
    <w:bookmarkEnd w:id="85"/>
    <w:bookmarkStart w:id="88" w:name="patient-participant-eligibility-criteria"/>
    <w:p>
      <w:pPr>
        <w:pStyle w:val="Heading3"/>
      </w:pPr>
      <w:r>
        <w:t xml:space="preserve">6.1.2 Patient participant eligibility criteria</w:t>
      </w:r>
    </w:p>
    <w:bookmarkStart w:id="86" w:name="inclusion-criteria-1"/>
    <w:p>
      <w:pPr>
        <w:pStyle w:val="Heading4"/>
      </w:pPr>
      <w:r>
        <w:t xml:space="preserve">6.1.2.1 Inclusion criteria</w:t>
      </w:r>
    </w:p>
    <w:p>
      <w:pPr>
        <w:pStyle w:val="FirstParagraph"/>
      </w:pPr>
      <w:r>
        <w:rPr>
          <w:b/>
          <w:bCs/>
        </w:rPr>
        <w:t xml:space="preserve">Patients participants</w:t>
      </w:r>
      <w:r>
        <w:t xml:space="preserve"> </w:t>
      </w:r>
      <w:r>
        <w:t xml:space="preserve">must meet the following criteria:</w:t>
      </w:r>
    </w:p>
    <w:p>
      <w:pPr>
        <w:pStyle w:val="Compact"/>
        <w:numPr>
          <w:ilvl w:val="0"/>
          <w:numId w:val="1007"/>
        </w:numPr>
      </w:pPr>
      <w:r>
        <w:t xml:space="preserve">age of at least 15 years;</w:t>
      </w:r>
    </w:p>
    <w:p>
      <w:pPr>
        <w:pStyle w:val="Compact"/>
        <w:numPr>
          <w:ilvl w:val="0"/>
          <w:numId w:val="1007"/>
        </w:numPr>
      </w:pPr>
      <w:r>
        <w:t xml:space="preserve">trauma occurred less than 48 hours before arrival at the hospital;</w:t>
      </w:r>
    </w:p>
    <w:p>
      <w:pPr>
        <w:pStyle w:val="Compact"/>
        <w:numPr>
          <w:ilvl w:val="0"/>
          <w:numId w:val="1007"/>
        </w:numPr>
      </w:pPr>
      <w:r>
        <w:t xml:space="preserve">present to the emergency department of participating hospitals, with a history of trauma defined as having any of the reasons listed in the International Classification of Diseases chapter XX as the reason for presenting;</w:t>
      </w:r>
    </w:p>
    <w:p>
      <w:pPr>
        <w:pStyle w:val="Compact"/>
        <w:numPr>
          <w:ilvl w:val="0"/>
          <w:numId w:val="1007"/>
        </w:numPr>
      </w:pPr>
      <w:r>
        <w:t xml:space="preserve">admitted, or died between arrival at the hospital and admission, or referred/transferred from the emergency department of a participating hospital to another hospital for admission; and</w:t>
      </w:r>
    </w:p>
    <w:p>
      <w:pPr>
        <w:pStyle w:val="Compact"/>
        <w:numPr>
          <w:ilvl w:val="0"/>
          <w:numId w:val="1007"/>
        </w:numPr>
      </w:pPr>
      <w:r>
        <w:t xml:space="preserve">managed by a participating unit in the emergency department.</w:t>
      </w:r>
    </w:p>
    <w:bookmarkEnd w:id="86"/>
    <w:bookmarkStart w:id="87" w:name="exclusion-criteria-1"/>
    <w:p>
      <w:pPr>
        <w:pStyle w:val="Heading4"/>
      </w:pPr>
      <w:r>
        <w:t xml:space="preserve">6.1.2.2 Exclusion criteria</w:t>
      </w:r>
    </w:p>
    <w:p>
      <w:pPr>
        <w:pStyle w:val="FirstParagraph"/>
      </w:pPr>
      <w:r>
        <w:rPr>
          <w:b/>
          <w:bCs/>
        </w:rPr>
        <w:t xml:space="preserve">Patients participants</w:t>
      </w:r>
      <w:r>
        <w:t xml:space="preserve"> </w:t>
      </w:r>
      <w:r>
        <w:t xml:space="preserve">are excluded if they meet the following criteria:</w:t>
      </w:r>
    </w:p>
    <w:p>
      <w:pPr>
        <w:pStyle w:val="Compact"/>
        <w:numPr>
          <w:ilvl w:val="0"/>
          <w:numId w:val="1008"/>
        </w:numPr>
      </w:pPr>
      <w:r>
        <w:t xml:space="preserve">present with isolated closed extremity fracture; or</w:t>
      </w:r>
    </w:p>
    <w:p>
      <w:pPr>
        <w:pStyle w:val="Compact"/>
        <w:numPr>
          <w:ilvl w:val="0"/>
          <w:numId w:val="1008"/>
        </w:numPr>
      </w:pPr>
      <w:r>
        <w:t xml:space="preserve">are directly admitted to a ward without being seen by a physician in the emergency department.</w:t>
      </w:r>
    </w:p>
    <w:bookmarkEnd w:id="87"/>
    <w:bookmarkEnd w:id="88"/>
    <w:bookmarkEnd w:id="89"/>
    <w:bookmarkStart w:id="90" w:name="study-withdrawal-and-follow-up"/>
    <w:p>
      <w:pPr>
        <w:pStyle w:val="Heading2"/>
      </w:pPr>
      <w:r>
        <w:t xml:space="preserve">6.2 Study withdrawal and follow-up</w:t>
      </w:r>
    </w:p>
    <w:p>
      <w:pPr>
        <w:pStyle w:val="FirstParagraph"/>
      </w:pPr>
      <w:r>
        <w:t xml:space="preserve">We will use CONSORT diagrams to display the flow of clusters and patients through the main batched stepped-wedge trial, reported as two figures in line with recent batched stepped-wedge practice</w:t>
      </w:r>
      <w:r>
        <w:rPr>
          <w:vertAlign w:val="superscript"/>
        </w:rPr>
        <w:t xml:space="preserve">14</w:t>
      </w:r>
      <w:r>
        <w:t xml:space="preserve">: a cluster-level diagram (</w:t>
      </w:r>
      <w:hyperlink w:anchor="fig-consort-clusters">
        <w:r>
          <w:rPr>
            <w:rStyle w:val="Hyperlink"/>
          </w:rPr>
          <w:t xml:space="preserve">Figure 4</w:t>
        </w:r>
      </w:hyperlink>
      <w:r>
        <w:t xml:space="preserve">) and a patient-level diagram (</w:t>
      </w:r>
      <w:hyperlink w:anchor="fig-consort-patients">
        <w:r>
          <w:rPr>
            <w:rStyle w:val="Hyperlink"/>
          </w:rPr>
          <w:t xml:space="preserve">Figure 5</w:t>
        </w:r>
      </w:hyperlink>
      <w:r>
        <w:t xml:space="preserve">). For each sequence, the diagrams will report numbers randomly assigned or included, losses and exclusions after randomisation (with reasons), and numbers analysed for the primary outcome. The patient diagram will also summarise flow before and after ATLS® training. Flow for nested-staircase secondary outcomes (adherence to ATLS® principles, EQ-5D-5L, and WHODAS 2.0) will be reported in a separate figure (</w:t>
      </w:r>
      <w:hyperlink w:anchor="fig-consort-nested-staircase">
        <w:r>
          <w:rPr>
            <w:rStyle w:val="Hyperlink"/>
          </w:rPr>
          <w:t xml:space="preserve">Figure 6</w:t>
        </w:r>
      </w:hyperlink>
      <w:r>
        <w:t xml:space="preserve">), showing patients in the staircase periods, losses and exclusions, and numbers analysed, by sequence, before and after ATLS® training, and overall. We will present cluster-level summaries of the intervention effect. We will report the study according to the CONSORT guidelines for stepped-wedge randomised trials</w:t>
      </w:r>
      <w:r>
        <w:rPr>
          <w:vertAlign w:val="superscript"/>
        </w:rPr>
        <w:t xml:space="preserve">15</w:t>
      </w:r>
      <w:r>
        <w:t xml:space="preserve">.</w:t>
      </w:r>
    </w:p>
    <w:bookmarkEnd w:id="90"/>
    <w:bookmarkStart w:id="93" w:name="baseline-characteristics"/>
    <w:p>
      <w:pPr>
        <w:pStyle w:val="Heading2"/>
      </w:pPr>
      <w:r>
        <w:t xml:space="preserve">6.3 Baseline characteristics</w:t>
      </w:r>
    </w:p>
    <w:bookmarkStart w:id="91" w:name="cluster-characteristics"/>
    <w:p>
      <w:pPr>
        <w:pStyle w:val="Heading3"/>
      </w:pPr>
      <w:r>
        <w:t xml:space="preserve">6.3.1 Cluster characteristics</w:t>
      </w:r>
    </w:p>
    <w:p>
      <w:pPr>
        <w:pStyle w:val="FirstParagraph"/>
      </w:pPr>
      <w:r>
        <w:t xml:space="preserve">We will describe cluster characteristics including state and size using frequencies and percentages for discrete variables and medians and interquartile ranges (Q1-Q3) for continuous variables. State categories depend on the final set of participating clusters. See</w:t>
      </w:r>
      <w:r>
        <w:t xml:space="preserve"> </w:t>
      </w:r>
      <w:hyperlink w:anchor="tbl-cluster-characteristics">
        <w:r>
          <w:rPr>
            <w:rStyle w:val="Hyperlink"/>
          </w:rPr>
          <w:t xml:space="preserve">Table 2</w:t>
        </w:r>
      </w:hyperlink>
      <w:r>
        <w:t xml:space="preserve"> </w:t>
      </w:r>
      <w:r>
        <w:t xml:space="preserve">for details.</w:t>
      </w:r>
    </w:p>
    <w:bookmarkEnd w:id="91"/>
    <w:bookmarkStart w:id="92" w:name="patient-characteristics"/>
    <w:p>
      <w:pPr>
        <w:pStyle w:val="Heading3"/>
      </w:pPr>
      <w:r>
        <w:t xml:space="preserve">6.3.2 Patient characteristics</w:t>
      </w:r>
    </w:p>
    <w:p>
      <w:pPr>
        <w:pStyle w:val="FirstParagraph"/>
      </w:pPr>
      <w:r>
        <w:t xml:space="preserve">We will describe patient characteristics among all eligible patients over the entire trial period, stratified by before and after ATLS training and overall, using frequencies and percentages for discrete variables and medians and interquartile ranges (Q1-Q3) for continuous variables. Missing values will be reported for each characteristic. We will not adjust for clustering when presenting baseline characteristics (i.e. non-outcome variables). We will present key characteristics in the results section, and present all characteristics in a supplementary table. See</w:t>
      </w:r>
      <w:r>
        <w:t xml:space="preserve"> </w:t>
      </w:r>
      <w:hyperlink w:anchor="tbl-patient-characteristics">
        <w:r>
          <w:rPr>
            <w:rStyle w:val="Hyperlink"/>
          </w:rPr>
          <w:t xml:space="preserve">Table 3</w:t>
        </w:r>
      </w:hyperlink>
      <w:r>
        <w:t xml:space="preserve"> </w:t>
      </w:r>
      <w:r>
        <w:t xml:space="preserve">for key characteristics and</w:t>
      </w:r>
      <w:r>
        <w:t xml:space="preserve"> </w:t>
      </w:r>
      <w:hyperlink w:anchor="tbl-patient-characteristics-all">
        <w:r>
          <w:rPr>
            <w:rStyle w:val="Hyperlink"/>
          </w:rPr>
          <w:t xml:space="preserve">Table 9</w:t>
        </w:r>
      </w:hyperlink>
      <w:r>
        <w:t xml:space="preserve"> </w:t>
      </w:r>
      <w:r>
        <w:t xml:space="preserve">for all characteristics.</w:t>
      </w:r>
    </w:p>
    <w:bookmarkEnd w:id="92"/>
    <w:bookmarkEnd w:id="93"/>
    <w:bookmarkEnd w:id="94"/>
    <w:bookmarkStart w:id="101" w:name="outcomes"/>
    <w:p>
      <w:pPr>
        <w:pStyle w:val="Heading1"/>
      </w:pPr>
      <w:r>
        <w:t xml:space="preserve">7. Outcomes</w:t>
      </w:r>
    </w:p>
    <w:bookmarkStart w:id="100" w:name="outcomes-1"/>
    <w:p>
      <w:pPr>
        <w:pStyle w:val="Heading2"/>
      </w:pPr>
      <w:r>
        <w:t xml:space="preserve">7.1 Outcomes</w:t>
      </w:r>
    </w:p>
    <w:p>
      <w:pPr>
        <w:pStyle w:val="FirstParagraph"/>
      </w:pPr>
      <w:r>
        <w:t xml:space="preserve">A summary of all outcomes, analysis sets, effect measures, and handling of intercurrent events is provided in</w:t>
      </w:r>
      <w:r>
        <w:t xml:space="preserve"> </w:t>
      </w:r>
      <w:hyperlink w:anchor="tbl-outcomes-summary">
        <w:r>
          <w:rPr>
            <w:rStyle w:val="Hyperlink"/>
          </w:rPr>
          <w:t xml:space="preserve">Table 1</w:t>
        </w:r>
      </w:hyperlink>
      <w:r>
        <w:t xml:space="preserve">.</w:t>
      </w:r>
    </w:p>
    <w:bookmarkStart w:id="95" w:name="primary-outcome"/>
    <w:p>
      <w:pPr>
        <w:pStyle w:val="Heading3"/>
      </w:pPr>
      <w:r>
        <w:t xml:space="preserve">7.1.1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95"/>
    <w:bookmarkStart w:id="99" w:name="secondary-outcomes"/>
    <w:p>
      <w:pPr>
        <w:pStyle w:val="Heading3"/>
      </w:pPr>
      <w:r>
        <w:t xml:space="preserve">7.1.2 Secondary outcomes</w:t>
      </w:r>
    </w:p>
    <w:bookmarkStart w:id="96" w:name="Xdb0e69ac2f6fc09a45efb162c3cc667f9413bd2"/>
    <w:p>
      <w:pPr>
        <w:pStyle w:val="Heading4"/>
      </w:pPr>
      <w:r>
        <w:t xml:space="preserve">7.1.2.1 Collected using the main stepped-wedge design</w:t>
      </w:r>
    </w:p>
    <w:p>
      <w:pPr>
        <w:pStyle w:val="Compact"/>
        <w:numPr>
          <w:ilvl w:val="0"/>
          <w:numId w:val="1009"/>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9"/>
        </w:numPr>
      </w:pPr>
      <w:r>
        <w:t xml:space="preserve">Length of emergency department stay. Data on this outcome will be collected from patient hospital records.</w:t>
      </w:r>
    </w:p>
    <w:p>
      <w:pPr>
        <w:pStyle w:val="Compact"/>
        <w:numPr>
          <w:ilvl w:val="0"/>
          <w:numId w:val="1009"/>
        </w:numPr>
      </w:pPr>
      <w:r>
        <w:t xml:space="preserve">Length of hospital stay. Data on this outcome will be collected from patient hospital records.</w:t>
      </w:r>
    </w:p>
    <w:p>
      <w:pPr>
        <w:pStyle w:val="Compact"/>
        <w:numPr>
          <w:ilvl w:val="0"/>
          <w:numId w:val="1009"/>
        </w:numPr>
      </w:pPr>
      <w:r>
        <w:t xml:space="preserve">Intensive care unit admission. Data on this outcome will be collected from patient hospital records.</w:t>
      </w:r>
    </w:p>
    <w:p>
      <w:pPr>
        <w:pStyle w:val="Compact"/>
        <w:numPr>
          <w:ilvl w:val="0"/>
          <w:numId w:val="1009"/>
        </w:numPr>
      </w:pPr>
      <w:r>
        <w:t xml:space="preserve">Length of intensive care unit stay. Data on this outcome will be collected from patient hospital records.</w:t>
      </w:r>
    </w:p>
    <w:p>
      <w:pPr>
        <w:pStyle w:val="Compact"/>
        <w:numPr>
          <w:ilvl w:val="0"/>
          <w:numId w:val="1009"/>
        </w:numPr>
      </w:pPr>
      <w:r>
        <w:t xml:space="preserve">Return to work at 30 days and three months after arrival at the emergency department. Data on this outcome will be collected in person if the patient is still in hospital, or by phone if the patient has been discharged.</w:t>
      </w:r>
    </w:p>
    <w:bookmarkEnd w:id="96"/>
    <w:bookmarkStart w:id="98" w:name="Xac098b8b976789377f406b0c926b7e67113ef4f"/>
    <w:p>
      <w:pPr>
        <w:pStyle w:val="Heading4"/>
      </w:pPr>
      <w:r>
        <w:t xml:space="preserve">7.1.2.2 Collected using the nested staircase design</w:t>
      </w:r>
    </w:p>
    <w:p>
      <w:pPr>
        <w:pStyle w:val="Compact"/>
        <w:numPr>
          <w:ilvl w:val="0"/>
          <w:numId w:val="1010"/>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16</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10"/>
        </w:numPr>
      </w:pPr>
      <w:r>
        <w:t xml:space="preserve">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10"/>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tbl>
      <w:tblPr>
        <w:tblStyle w:val="Table"/>
        <w:tblW w:type="pct" w:w="5000"/>
        <w:tblLayout w:type="fixed"/>
        <w:tblLook w:firstRow="0" w:lastRow="0" w:firstColumn="0" w:lastColumn="0" w:noHBand="0" w:noVBand="0" w:val="0000"/>
      </w:tblPr>
      <w:tblGrid>
        <w:gridCol w:w="7920"/>
      </w:tblGrid>
      <w:tr>
        <w:tc>
          <w:tcPr/>
          <w:bookmarkStart w:id="97" w:name="tbl-outcomes-summary"/>
          <w:p>
            <w:pPr>
              <w:jc w:val="center"/>
            </w:pPr>
            <w:pPr>
              <w:jc w:val="left"/>
              <w:spacing w:before="200"/>
              <w:pStyle w:val="ImageCaption"/>
            </w:pPr>
            <w:r>
              <w:t xml:space="preserve">Table 1: Summary of outcomes, analysis sets, effect measures, and handling of intercurrent events</w:t>
            </w:r>
          </w:p>
          <w:bookmarkEnd w:id="97"/>
        </w:tc>
      </w:tr>
    </w:tbl>
    <w:bookmarkEnd w:id="98"/>
    <w:bookmarkEnd w:id="99"/>
    <w:bookmarkEnd w:id="100"/>
    <w:bookmarkEnd w:id="101"/>
    <w:bookmarkStart w:id="106" w:name="X996242445fac73cd3d962c7c41a24681b88205f"/>
    <w:p>
      <w:pPr>
        <w:pStyle w:val="Heading1"/>
      </w:pPr>
      <w:r>
        <w:t xml:space="preserve">8. Intercurrent events, populations and summary measures</w:t>
      </w:r>
    </w:p>
    <w:bookmarkStart w:id="102" w:name="intercurrent-events"/>
    <w:p>
      <w:pPr>
        <w:pStyle w:val="Heading2"/>
      </w:pPr>
      <w:r>
        <w:t xml:space="preserve">8.1 Intercurrent events</w:t>
      </w:r>
    </w:p>
    <w:p>
      <w:pPr>
        <w:pStyle w:val="FirstParagraph"/>
      </w:pPr>
      <w:r>
        <w:t xml:space="preserve">Intercurrent events are events occurring after intervention exposure that affect interpretation or occurrence of an outcome. Anticipated events and the strategy used for each outcome are summarised in</w:t>
      </w:r>
      <w:r>
        <w:t xml:space="preserve"> </w:t>
      </w:r>
      <w:hyperlink w:anchor="tbl-outcomes-summary">
        <w:r>
          <w:rPr>
            <w:rStyle w:val="Hyperlink"/>
          </w:rPr>
          <w:t xml:space="preserve">Table 1</w:t>
        </w:r>
      </w:hyperlink>
      <w:r>
        <w:t xml:space="preserve">. Frequencies will be summarised for each outcome as counts and percentages of patients with the event before assessment of that outcome, stratified by before and after ATLS training and overall. We will not adjust for clustering in these summaries. Denominators follow the analysis set for the outcome (main stepped-wedge trial or nested staircase sample). See</w:t>
      </w:r>
      <w:r>
        <w:t xml:space="preserve"> </w:t>
      </w:r>
      <w:hyperlink w:anchor="tbl-intercurrent-events">
        <w:r>
          <w:rPr>
            <w:rStyle w:val="Hyperlink"/>
          </w:rPr>
          <w:t xml:space="preserve">Table 4</w:t>
        </w:r>
      </w:hyperlink>
      <w:r>
        <w:t xml:space="preserve">.</w:t>
      </w:r>
    </w:p>
    <w:p>
      <w:pPr>
        <w:pStyle w:val="BodyText"/>
      </w:pPr>
      <w:r>
        <w:t xml:space="preserve">At the cluster level, late or early transition relative to the scheduled date, incomplete delivery of ATLS® training, and cluster dropout are treated as protocol or adherence issues (see Adherence and Protocol deviations) rather than as outcome-specific intercurrent events; exposure for analysis remains as defined under Analysis sets, with a sensitivity analysis using the actual transition date when the deviation exceeds four weeks.</w:t>
      </w:r>
    </w:p>
    <w:p>
      <w:pPr>
        <w:pStyle w:val="BodyText"/>
      </w:pPr>
      <w:r>
        <w:t xml:space="preserve">At the individual level, patients cannot withdraw from the intervention. The events below, and the outcomes to which they apply, are as follows.</w:t>
      </w:r>
    </w:p>
    <w:p>
      <w:pPr>
        <w:pStyle w:val="Compact"/>
        <w:numPr>
          <w:ilvl w:val="0"/>
          <w:numId w:val="1011"/>
        </w:numPr>
      </w:pPr>
      <w:r>
        <w:rPr>
          <w:b/>
          <w:bCs/>
        </w:rPr>
        <w:t xml:space="preserve">Transfer to another hospital.</w:t>
      </w:r>
      <w:r>
        <w:t xml:space="preserve"> </w:t>
      </w:r>
      <w:r>
        <w:t xml:space="preserve">Relevant to length-of-stay and ICU outcomes. It is not an intercurrent event for mortality outcomes, because the primary outcome includes in-hospital deaths after transfer and all-cause mortality counts deaths regardless of care setting. For length of emergency department, hospital, and ICU stay, transfer ends the observed stay and is not treated as censoring. ICU admission is classified according to whether admission occurred before transfer.</w:t>
      </w:r>
      <w:r>
        <w:t xml:space="preserve"> </w:t>
      </w:r>
    </w:p>
    <w:p>
      <w:pPr>
        <w:pStyle w:val="Compact"/>
        <w:numPr>
          <w:ilvl w:val="0"/>
          <w:numId w:val="1011"/>
        </w:numPr>
      </w:pPr>
      <w:r>
        <w:rPr>
          <w:b/>
          <w:bCs/>
        </w:rPr>
        <w:t xml:space="preserve">Death.</w:t>
      </w:r>
      <w:r>
        <w:t xml:space="preserve"> </w:t>
      </w:r>
      <w:r>
        <w:t xml:space="preserve">Relevant to length-of-stay and ICU outcomes and to survivor-only outcomes. As an intercurrent event, death is death before assessment of the outcome in question; later death is not an intercurrent event for earlier outcomes. Observed length of stay is the completed duration to exit; death truncates the observed stay and is not treated as censoring. ICU admission is classified according to whether admission occurred before death. Quality of life, disability, and return to work are defined only among patients alive at the relevant follow-up (while-alive restriction). Those analyses therefore target effects in survivors at that time point; mortality is analysed separately.</w:t>
      </w:r>
    </w:p>
    <w:p>
      <w:pPr>
        <w:pStyle w:val="Compact"/>
        <w:numPr>
          <w:ilvl w:val="0"/>
          <w:numId w:val="1011"/>
        </w:numPr>
      </w:pPr>
      <w:r>
        <w:rPr>
          <w:b/>
          <w:bCs/>
        </w:rPr>
        <w:t xml:space="preserve">Withdrawal of consent for non-routine data collection.</w:t>
      </w:r>
      <w:r>
        <w:t xml:space="preserve"> </w:t>
      </w:r>
      <w:r>
        <w:t xml:space="preserve">Relevant only to outcomes that require opt-in follow-up: all-cause mortality after the initial admission (when not available from records), return to work, quality of life, and disability. It is also relevant to the primary outcome when death after transfer cannot be ascertained from records and requires contact with the patient, a representative, or the receiving hospital. Withdrawal is not listed for routinely recorded in-hospital outcomes (length of stay and ICU admission) or for adherence, which are collected under opt-out consent. Participants who withdraw contribute observed non-routine outcomes up to withdrawal unless they also request removal of already collected data; subsequent missing values are handled under the missing-data plan (see</w:t>
      </w:r>
      <w:r>
        <w:t xml:space="preserve"> </w:t>
      </w:r>
      <w:hyperlink w:anchor="sec-treatment-of-missing-data">
        <w:r>
          <w:rPr>
            <w:rStyle w:val="Hyperlink"/>
          </w:rPr>
          <w:t xml:space="preserve">Section 9.3</w:t>
        </w:r>
      </w:hyperlink>
      <w:r>
        <w:t xml:space="preserve">).</w:t>
      </w:r>
    </w:p>
    <w:p>
      <w:pPr>
        <w:pStyle w:val="Compact"/>
        <w:numPr>
          <w:ilvl w:val="0"/>
          <w:numId w:val="1011"/>
        </w:numPr>
      </w:pPr>
      <w:r>
        <w:rPr>
          <w:b/>
          <w:bCs/>
        </w:rPr>
        <w:t xml:space="preserve">Loss to follow-up.</w:t>
      </w:r>
      <w:r>
        <w:t xml:space="preserve"> </w:t>
      </w:r>
      <w:r>
        <w:t xml:space="preserve">Relevant to the same contact-dependent outcomes as withdrawal. These events create missing outcome data and are handled under the missing-data plan.</w:t>
      </w:r>
    </w:p>
    <w:p>
      <w:pPr>
        <w:pStyle w:val="Compact"/>
        <w:numPr>
          <w:ilvl w:val="0"/>
          <w:numId w:val="1011"/>
        </w:numPr>
      </w:pPr>
      <w:r>
        <w:rPr>
          <w:b/>
          <w:bCs/>
        </w:rPr>
        <w:t xml:space="preserve">Incomplete observation of resuscitation.</w:t>
      </w:r>
      <w:r>
        <w:t xml:space="preserve"> </w:t>
      </w:r>
      <w:r>
        <w:t xml:space="preserve">Relevant only to adherence. The checklist is scored from observation of initial resuscitation up to one hour after the physician first sees the patient. Incomplete observation means that this window was not fully observed (for example the observer could not complete the 14-item checklist because care ended, the patient left the emergency department, or observation was interrupted). Unobserved or incompletely observed resuscitations are excluded from the adherence analysis (available-case analysis of the observed nested sample). Death during the observation window is treated in the same way.</w:t>
      </w:r>
    </w:p>
    <w:p>
      <w:pPr>
        <w:pStyle w:val="FirstParagraph"/>
      </w:pPr>
      <w:r>
        <w:t xml:space="preserve">Return to work is further restricted to patients for whom the outcome is relevant; that restriction defines the analysis set and is not an intercurrent event.</w:t>
      </w:r>
    </w:p>
    <w:p>
      <w:pPr>
        <w:pStyle w:val="BodyText"/>
      </w:pPr>
      <w:r>
        <w:t xml:space="preserve">Where a while-alive strategy is used, we assume that, conditional on the analysis model and design factors, death before the outcome assessment does not induce selection bias beyond what is addressed by analysing mortality separately; sensitivity of conclusions will rely on joint interpretation of mortality and survivor outcomes. Assumptions underlying each strategy will be considered when interpreting results and when checking model assumptions (see</w:t>
      </w:r>
      <w:r>
        <w:t xml:space="preserve"> </w:t>
      </w:r>
      <w:hyperlink w:anchor="sec-analysis-methods">
        <w:r>
          <w:rPr>
            <w:rStyle w:val="Hyperlink"/>
          </w:rPr>
          <w:t xml:space="preserve">Section 9</w:t>
        </w:r>
      </w:hyperlink>
      <w:r>
        <w:t xml:space="preserve">).</w:t>
      </w:r>
    </w:p>
    <w:bookmarkEnd w:id="102"/>
    <w:bookmarkStart w:id="103" w:name="population"/>
    <w:p>
      <w:pPr>
        <w:pStyle w:val="Heading2"/>
      </w:pPr>
      <w:r>
        <w:t xml:space="preserve">8.2 Population</w:t>
      </w:r>
    </w:p>
    <w:p>
      <w:pPr>
        <w:pStyle w:val="FirstParagraph"/>
      </w:pPr>
      <w:r>
        <w:t xml:space="preserve">The treatment effects estimated in this plan are defined for the trial’s eligible clusters and eligible patient participants, as specified under</w:t>
      </w:r>
      <w:r>
        <w:t xml:space="preserve"> </w:t>
      </w:r>
      <w:hyperlink w:anchor="sec-eligibility-criteria">
        <w:r>
          <w:rPr>
            <w:rStyle w:val="Hyperlink"/>
          </w:rPr>
          <w:t xml:space="preserve">Section 6.1</w:t>
        </w:r>
      </w:hyperlink>
      <w:r>
        <w:t xml:space="preserve">.</w:t>
      </w:r>
    </w:p>
    <w:p>
      <w:pPr>
        <w:pStyle w:val="Compact"/>
        <w:numPr>
          <w:ilvl w:val="0"/>
          <w:numId w:val="1012"/>
        </w:numPr>
      </w:pPr>
      <w:r>
        <w:rPr>
          <w:b/>
          <w:bCs/>
        </w:rPr>
        <w:t xml:space="preserve">Clusters.</w:t>
      </w:r>
      <w:r>
        <w:t xml:space="preserve"> </w:t>
      </w:r>
      <w:r>
        <w:t xml:space="preserve">Effects are estimated for participating hospitals (clusters) that meet cluster eligibility criteria and are randomised within the batched stepped-wedge design. Units within a hospital are part of the same cluster; the estimands are not defined separately by unit.</w:t>
      </w:r>
    </w:p>
    <w:p>
      <w:pPr>
        <w:pStyle w:val="Compact"/>
        <w:numPr>
          <w:ilvl w:val="0"/>
          <w:numId w:val="1012"/>
        </w:numPr>
      </w:pPr>
      <w:r>
        <w:rPr>
          <w:b/>
          <w:bCs/>
        </w:rPr>
        <w:t xml:space="preserve">Main stepped-wedge patient population.</w:t>
      </w:r>
      <w:r>
        <w:t xml:space="preserve"> </w:t>
      </w:r>
      <w:r>
        <w:t xml:space="preserve">For the primary outcome, all-cause mortality secondary outcomes, length of emergency department and hospital stay, and ICU admission, the target population is eligible trauma patients included in the main stepped-wedge trial during non-transition periods. Length of ICU stay is targeted among patients in that population who are admitted to ICU.</w:t>
      </w:r>
    </w:p>
    <w:p>
      <w:pPr>
        <w:pStyle w:val="Compact"/>
        <w:numPr>
          <w:ilvl w:val="0"/>
          <w:numId w:val="1012"/>
        </w:numPr>
      </w:pPr>
      <w:r>
        <w:rPr>
          <w:b/>
          <w:bCs/>
        </w:rPr>
        <w:t xml:space="preserve">Survivor populations.</w:t>
      </w:r>
      <w:r>
        <w:t xml:space="preserve"> </w:t>
      </w:r>
      <w:r>
        <w:t xml:space="preserve">Quality of life and disability effects are targeted among patients in the nested staircase sample who are alive at the relevant follow-up time point. Return-to-work effects are targeted among patients in the main stepped-wedge trial who are alive at the relevant follow-up and for whom return to work is relevant.</w:t>
      </w:r>
    </w:p>
    <w:p>
      <w:pPr>
        <w:pStyle w:val="Compact"/>
        <w:numPr>
          <w:ilvl w:val="0"/>
          <w:numId w:val="1012"/>
        </w:numPr>
      </w:pPr>
      <w:r>
        <w:rPr>
          <w:b/>
          <w:bCs/>
        </w:rPr>
        <w:t xml:space="preserve">Nested adherence population.</w:t>
      </w:r>
      <w:r>
        <w:t xml:space="preserve"> </w:t>
      </w:r>
      <w:r>
        <w:t xml:space="preserve">The adherence-to-ATLS®-principles effect is targeted among patients randomly selected for observation in the nested staircase design during the observation window.</w:t>
      </w:r>
    </w:p>
    <w:p>
      <w:pPr>
        <w:pStyle w:val="FirstParagraph"/>
      </w:pPr>
      <w:r>
        <w:t xml:space="preserve">Which participants from each target population are included in a given analysis is specified under</w:t>
      </w:r>
      <w:r>
        <w:t xml:space="preserve"> </w:t>
      </w:r>
      <w:hyperlink w:anchor="sec-analysis-sets">
        <w:r>
          <w:rPr>
            <w:rStyle w:val="Hyperlink"/>
          </w:rPr>
          <w:t xml:space="preserve">Section 8.3</w:t>
        </w:r>
      </w:hyperlink>
      <w:r>
        <w:t xml:space="preserve">.</w:t>
      </w:r>
    </w:p>
    <w:bookmarkEnd w:id="103"/>
    <w:bookmarkStart w:id="104" w:name="sec-analysis-sets"/>
    <w:p>
      <w:pPr>
        <w:pStyle w:val="Heading2"/>
      </w:pPr>
      <w:r>
        <w:t xml:space="preserve">8.3 Analysis sets</w:t>
      </w:r>
    </w:p>
    <w:p>
      <w:pPr>
        <w:pStyle w:val="FirstParagraph"/>
      </w:pPr>
      <w:r>
        <w:t xml:space="preserve">The trial has a hierarchical structure in which hospitals represent the clusters, units within hospitals deliver care, and individual patients constitute the unit of observation and analysis. Randomisation is performed at the hospital level, with all trained units within the same hospital treated as part of the same cluster. Analysis models therefore account for clustering at the hospital level and do not include a separate random effect for unit within hospital. The primary analysis set will include all observations within clusters with available data on the primary outcome and irrespective of the receipt of the intervention.</w:t>
      </w:r>
    </w:p>
    <w:p>
      <w:pPr>
        <w:pStyle w:val="BodyText"/>
      </w:pPr>
      <w:r>
        <w:t xml:space="preserve">Clusters and observations within clusters will be considered exposed to the intervention after the date at which the cluster was scheduled to transition. All data will be included with the exception of the transition phases. Group allocation for a patient depends on the period in which the patient was admitted to the hospital. If clusters deviate considerably from the scheduled date of transition, defined as more than four weeks, we will conduct a sensitivity analysis using the actual date of transition to define exposure.</w:t>
      </w:r>
    </w:p>
    <w:p>
      <w:pPr>
        <w:pStyle w:val="BodyText"/>
      </w:pPr>
      <w:r>
        <w:t xml:space="preserve">The analysis set will be specified for each analysis and corresponds to the target population for that outcome (see Population), restricted to participants with observed outcome data and any further outcome-specific constraints in</w:t>
      </w:r>
      <w:r>
        <w:t xml:space="preserve"> </w:t>
      </w:r>
      <w:hyperlink w:anchor="tbl-outcomes-summary">
        <w:r>
          <w:rPr>
            <w:rStyle w:val="Hyperlink"/>
          </w:rPr>
          <w:t xml:space="preserve">Table 1</w:t>
        </w:r>
      </w:hyperlink>
      <w:r>
        <w:t xml:space="preserve">. For adjusted analyses under the available-case approach, the analysis set will be restricted to participants with complete covariate data, as described in</w:t>
      </w:r>
      <w:r>
        <w:t xml:space="preserve"> </w:t>
      </w:r>
      <w:hyperlink w:anchor="sec-treatment-of-missing-data">
        <w:r>
          <w:rPr>
            <w:rStyle w:val="Hyperlink"/>
          </w:rPr>
          <w:t xml:space="preserve">Section 9.3</w:t>
        </w:r>
      </w:hyperlink>
      <w:r>
        <w:t xml:space="preserve">.</w:t>
      </w:r>
    </w:p>
    <w:bookmarkEnd w:id="104"/>
    <w:bookmarkStart w:id="105" w:name="effect-measures"/>
    <w:p>
      <w:pPr>
        <w:pStyle w:val="Heading2"/>
      </w:pPr>
      <w:r>
        <w:t xml:space="preserve">8.4 Effect measures</w:t>
      </w:r>
    </w:p>
    <w:p>
      <w:pPr>
        <w:pStyle w:val="FirstParagraph"/>
      </w:pPr>
      <w:r>
        <w:t xml:space="preserve">Outcomes are measured on individual patients. Descriptive summaries of primary and secondary outcomes will be presented stratified by before and after ATLS® training and overall, using frequencies and percentages for dichotomous and categorical outcomes, medians and interquartile ranges (Q1–Q3) for continuous and count outcomes, and the same summary statistics as the patient characteristics tables otherwise. Missing values will be reported for each outcome. These descriptive summaries are unadjusted for clustering (patient-level summaries). We will present key outcome summaries in the results section, and all outcome summaries as supplementary tables. See</w:t>
      </w:r>
      <w:r>
        <w:t xml:space="preserve"> </w:t>
      </w:r>
      <w:hyperlink w:anchor="tbl-outcomes-descriptive">
        <w:r>
          <w:rPr>
            <w:rStyle w:val="Hyperlink"/>
          </w:rPr>
          <w:t xml:space="preserve">Table 5</w:t>
        </w:r>
      </w:hyperlink>
      <w:r>
        <w:t xml:space="preserve"> </w:t>
      </w:r>
      <w:r>
        <w:t xml:space="preserve">for key outcomes and</w:t>
      </w:r>
      <w:r>
        <w:t xml:space="preserve"> </w:t>
      </w:r>
      <w:hyperlink w:anchor="tbl-outcomes-descriptive-all">
        <w:r>
          <w:rPr>
            <w:rStyle w:val="Hyperlink"/>
          </w:rPr>
          <w:t xml:space="preserve">Table 10</w:t>
        </w:r>
      </w:hyperlink>
      <w:r>
        <w:t xml:space="preserve"> </w:t>
      </w:r>
      <w:r>
        <w:t xml:space="preserve">for all outcomes.</w:t>
      </w:r>
    </w:p>
    <w:p>
      <w:pPr>
        <w:pStyle w:val="BodyText"/>
      </w:pPr>
      <w:r>
        <w:t xml:space="preserve">Comparative effect measures for the intervention are listed by outcome in</w:t>
      </w:r>
      <w:r>
        <w:t xml:space="preserve"> </w:t>
      </w:r>
      <w:hyperlink w:anchor="tbl-outcomes-summary">
        <w:r>
          <w:rPr>
            <w:rStyle w:val="Hyperlink"/>
          </w:rPr>
          <w:t xml:space="preserve">Table 1</w:t>
        </w:r>
      </w:hyperlink>
      <w:r>
        <w:t xml:space="preserve"> </w:t>
      </w:r>
      <w:r>
        <w:t xml:space="preserve">and are estimated from the mixed-effects models in</w:t>
      </w:r>
      <w:r>
        <w:t xml:space="preserve"> </w:t>
      </w:r>
      <w:hyperlink w:anchor="sec-analysis-methods">
        <w:r>
          <w:rPr>
            <w:rStyle w:val="Hyperlink"/>
          </w:rPr>
          <w:t xml:space="preserve">Section 9</w:t>
        </w:r>
      </w:hyperlink>
      <w:r>
        <w:t xml:space="preserve">. The effects are cluster-specific unless otherwise stated. The types of effect measures are as follows:</w:t>
      </w:r>
    </w:p>
    <w:p>
      <w:pPr>
        <w:pStyle w:val="Compact"/>
        <w:numPr>
          <w:ilvl w:val="0"/>
          <w:numId w:val="1013"/>
        </w:numPr>
      </w:pPr>
      <w:r>
        <w:rPr>
          <w:b/>
          <w:bCs/>
        </w:rPr>
        <w:t xml:space="preserve">Dichotomous outcomes:</w:t>
      </w:r>
      <w:r>
        <w:t xml:space="preserve"> </w:t>
      </w:r>
      <w:r>
        <w:t xml:space="preserve">odds ratio (logit link) and absolute risk difference (identity link), where both links are used.</w:t>
      </w:r>
    </w:p>
    <w:p>
      <w:pPr>
        <w:pStyle w:val="Compact"/>
        <w:numPr>
          <w:ilvl w:val="0"/>
          <w:numId w:val="1013"/>
        </w:numPr>
      </w:pPr>
      <w:r>
        <w:rPr>
          <w:b/>
          <w:bCs/>
        </w:rPr>
        <w:t xml:space="preserve">Count (length-of-stay) outcomes:</w:t>
      </w:r>
      <w:r>
        <w:t xml:space="preserve"> </w:t>
      </w:r>
      <w:r>
        <w:t xml:space="preserve">rate ratio from a negative binomial model with log link.</w:t>
      </w:r>
    </w:p>
    <w:p>
      <w:pPr>
        <w:pStyle w:val="Compact"/>
        <w:numPr>
          <w:ilvl w:val="0"/>
          <w:numId w:val="1013"/>
        </w:numPr>
      </w:pPr>
      <w:r>
        <w:rPr>
          <w:b/>
          <w:bCs/>
        </w:rPr>
        <w:t xml:space="preserve">Ordinal outcomes (EQ-5D-5L domains and WHODAS domain scores):</w:t>
      </w:r>
      <w:r>
        <w:t xml:space="preserve"> </w:t>
      </w:r>
      <w:r>
        <w:t xml:space="preserve">cumulative odds ratio from a cumulative logit model.</w:t>
      </w:r>
    </w:p>
    <w:p>
      <w:pPr>
        <w:pStyle w:val="Compact"/>
        <w:numPr>
          <w:ilvl w:val="0"/>
          <w:numId w:val="1013"/>
        </w:numPr>
      </w:pPr>
      <w:r>
        <w:rPr>
          <w:b/>
          <w:bCs/>
        </w:rPr>
        <w:t xml:space="preserve">Continuous outcomes (EQ-5D-5L VAS and WHODAS summary score):</w:t>
      </w:r>
      <w:r>
        <w:t xml:space="preserve"> </w:t>
      </w:r>
      <w:r>
        <w:t xml:space="preserve">mean difference from a linear mixed model.</w:t>
      </w:r>
    </w:p>
    <w:p>
      <w:pPr>
        <w:pStyle w:val="Compact"/>
        <w:numPr>
          <w:ilvl w:val="0"/>
          <w:numId w:val="1013"/>
        </w:numPr>
      </w:pPr>
      <w:r>
        <w:rPr>
          <w:b/>
          <w:bCs/>
        </w:rPr>
        <w:t xml:space="preserve">Adherence proportion:</w:t>
      </w:r>
      <w:r>
        <w:t xml:space="preserve"> </w:t>
      </w:r>
      <w:r>
        <w:t xml:space="preserve">difference on the logit scale from a beta mixed model.</w:t>
      </w:r>
    </w:p>
    <w:p>
      <w:pPr>
        <w:pStyle w:val="FirstParagraph"/>
      </w:pPr>
      <w:r>
        <w:t xml:space="preserve">Shell tables of the planned comparative results are given at the end of this plan (</w:t>
      </w:r>
      <w:hyperlink w:anchor="tbl-outcomes-analysis-results">
        <w:r>
          <w:rPr>
            <w:rStyle w:val="Hyperlink"/>
          </w:rPr>
          <w:t xml:space="preserve">Table 7</w:t>
        </w:r>
      </w:hyperlink>
      <w:r>
        <w:t xml:space="preserve">,</w:t>
      </w:r>
      <w:r>
        <w:t xml:space="preserve"> </w:t>
      </w:r>
      <w:hyperlink w:anchor="tbl-outcomes-analysis-results-all">
        <w:r>
          <w:rPr>
            <w:rStyle w:val="Hyperlink"/>
          </w:rPr>
          <w:t xml:space="preserve">Table 11</w:t>
        </w:r>
      </w:hyperlink>
      <w:r>
        <w:t xml:space="preserve">, and</w:t>
      </w:r>
      <w:r>
        <w:t xml:space="preserve"> </w:t>
      </w:r>
      <w:hyperlink w:anchor="tbl-additional-analyses-results">
        <w:r>
          <w:rPr>
            <w:rStyle w:val="Hyperlink"/>
          </w:rPr>
          <w:t xml:space="preserve">Table 8</w:t>
        </w:r>
      </w:hyperlink>
      <w:r>
        <w:t xml:space="preserve">).</w:t>
      </w:r>
    </w:p>
    <w:bookmarkEnd w:id="105"/>
    <w:bookmarkEnd w:id="106"/>
    <w:bookmarkStart w:id="144" w:name="sec-analysis-methods"/>
    <w:p>
      <w:pPr>
        <w:pStyle w:val="Heading1"/>
      </w:pPr>
      <w:r>
        <w:t xml:space="preserve">9. Analysis methods</w:t>
      </w:r>
    </w:p>
    <w:bookmarkStart w:id="127" w:name="analysis-methods"/>
    <w:p>
      <w:pPr>
        <w:pStyle w:val="Heading2"/>
      </w:pPr>
      <w:r>
        <w:t xml:space="preserve">9.1 Analysis methods</w:t>
      </w:r>
    </w:p>
    <w:p>
      <w:pPr>
        <w:pStyle w:val="FirstParagraph"/>
      </w:pPr>
      <w:r>
        <w:t xml:space="preserve">Primary and secondary outcomes will be analysed with mixed-effects regression models that account for clustering at the hospital level and target cluster-specific intervention effects, using link functions and outcome distributions matched to each data type (see Effect measures and the subsections below). Standard errors will be model-based; small-sample adjustments (including Kenward–Roger degrees-of-freedom corrections where relevant) and Wald-type confidence intervals will be used as specified under Analysis of the primary outcome. Estimation will be by maximum likelihood with a Laplace approximation for the random effects, with the software implementation chosen closer to analysis. Covariate adjustment for the fully adjusted analysis is specified under Adjusted analyses. Model diagnostics will assess distributional assumptions, convergence, and (where relevant) intercurrent-event strategy assumptions noted under Intercurrent events. If the preferred primary model does not converge, the prespecified sequence of simpler models under Analysis of the primary outcome will be used.</w:t>
      </w:r>
    </w:p>
    <w:bookmarkStart w:id="112" w:name="analysis-of-the-primary-outcome"/>
    <w:p>
      <w:pPr>
        <w:pStyle w:val="Heading3"/>
      </w:pPr>
      <w:r>
        <w:t xml:space="preserve">9.1.1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These models account for clustering at the hospital level and provide cluster-specific estimates of the intervention effect. The primary analysis will be based on the most complex model that converges from a prespecified sequence of models of decreasing complexity. The analysis will proceed from the most complex model to progressively simpler models if there are convergence or numerical stability issues. The primary analysis will then be subject to sensitivity analyses.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14"/>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107"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107"/>
    </w:p>
    <w:p>
      <w:pPr>
        <w:pStyle w:val="Compact"/>
        <w:numPr>
          <w:ilvl w:val="0"/>
          <w:numId w:val="1015"/>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108"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108"/>
    </w:p>
    <w:p>
      <w:pPr>
        <w:pStyle w:val="Compact"/>
        <w:numPr>
          <w:ilvl w:val="0"/>
          <w:numId w:val="1016"/>
        </w:numPr>
      </w:pPr>
      <w:r>
        <w:rPr>
          <w:b/>
          <w:bCs/>
        </w:rPr>
        <w:t xml:space="preserve">Model with shared period effects</w:t>
      </w:r>
      <w:r>
        <w:t xml:space="preserve">: a model in which fixed period effects are shared across batches, with time adjusted for using a common period effect or calendar time modelled directly (e.g., as a continuous covariate or using splines). A random intercept for cluster and a random cluster-by-period effect are retained; clusters remain indexed by batch, but the fixed period effects are common across batches. The model is specified in</w:t>
      </w:r>
      <w:r>
        <w:t xml:space="preserve"> </w:t>
      </w:r>
      <w:hyperlink w:anchor="eq-shared-period-model">
        <w:r>
          <w:rPr>
            <w:rStyle w:val="Hyperlink"/>
          </w:rPr>
          <w:t xml:space="preserve">Equation 3</w:t>
        </w:r>
      </w:hyperlink>
      <w:r>
        <w:t xml:space="preserve">.</w:t>
      </w:r>
    </w:p>
    <w:p>
      <w:pPr>
        <w:pStyle w:val="FirstParagraph"/>
      </w:pPr>
      <w:bookmarkStart w:id="109"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109"/>
    </w:p>
    <w:p>
      <w:pPr>
        <w:pStyle w:val="Compact"/>
        <w:numPr>
          <w:ilvl w:val="0"/>
          <w:numId w:val="1017"/>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110"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110"/>
    </w:p>
    <w:p>
      <w:pPr>
        <w:pStyle w:val="FirstParagraph"/>
      </w:pPr>
      <w:r>
        <w:t xml:space="preserve">Where:</w:t>
      </w:r>
    </w:p>
    <w:p>
      <w:pPr>
        <w:pStyle w:val="Compact"/>
        <w:numPr>
          <w:ilvl w:val="0"/>
          <w:numId w:val="1018"/>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18"/>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18"/>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18"/>
        </w:numPr>
      </w:pPr>
      <m:oMath>
        <m:r>
          <m:t>μ</m:t>
        </m:r>
      </m:oMath>
      <w:r>
        <w:t xml:space="preserve">: the intercept, representing the value of the linear predictor for the reference levels of all fixed effects, with random effects equal to zero.</w:t>
      </w:r>
    </w:p>
    <w:p>
      <w:pPr>
        <w:pStyle w:val="Compact"/>
        <w:numPr>
          <w:ilvl w:val="0"/>
          <w:numId w:val="1018"/>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18"/>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18"/>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18"/>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18"/>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111"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111"/>
    </w:p>
    <w:p>
      <w:pPr>
        <w:pStyle w:val="FirstParagraph"/>
      </w:pPr>
      <w:r>
        <w:t xml:space="preserve">Standard errors will be model-based. Confidence intervals will be Wald-type. To correct potential inflation of the type I error rate due to the small number of clusters, a small-sample correction will be applied. Our primary method will be the Kenward–Roger correction</w:t>
      </w:r>
      <w:r>
        <w:rPr>
          <w:vertAlign w:val="superscript"/>
        </w:rPr>
        <w:t xml:space="preserve">17</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The general estimation framework for the mixed-effects models is maximum likelihood, with a Laplace approximation used to integrate out the random effects. The specific R package and numerical implementation are not prespecified (see Statistical software).</w:t>
      </w:r>
    </w:p>
    <w:p>
      <w:pPr>
        <w:pStyle w:val="BodyText"/>
      </w:pPr>
      <w:r>
        <w:t xml:space="preserve">Model diagnostics will be used to assess distributional assumptions and model convergence.</w:t>
      </w:r>
    </w:p>
    <w:bookmarkEnd w:id="112"/>
    <w:bookmarkStart w:id="126" w:name="analysis-of-secondary-outcomes"/>
    <w:p>
      <w:pPr>
        <w:pStyle w:val="Heading3"/>
      </w:pPr>
      <w:r>
        <w:t xml:space="preserve">9.1.2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 Effect measures are odds ratios and absolute risk differences for binary outcomes, rate ratios for count (length-of-stay) outcomes, cumulative odds ratios for ordinal outcomes, mean differences for continuous outcomes, and a logit-scale difference for the adherence proportion. These models provide cluster-specific estimates of the intervention effect for patient-level outcomes. For cumulative logit models, diagnostics will also assess the proportional-odds assumption.</w:t>
      </w:r>
    </w:p>
    <w:bookmarkStart w:id="113" w:name="Xf8ad26412ad98b449304d4475d81963b294c2ae"/>
    <w:p>
      <w:pPr>
        <w:pStyle w:val="Heading4"/>
      </w:pPr>
      <w:r>
        <w:t xml:space="preserve">9.1.2.1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13"/>
    <w:bookmarkStart w:id="116" w:name="X89c97a0c38ba473d58b2facce729a073a7e8df9"/>
    <w:p>
      <w:pPr>
        <w:pStyle w:val="Heading4"/>
      </w:pPr>
      <w:r>
        <w:t xml:space="preserve">9.1.2.2 Quality of life within seven days of discharge, and at 30 days and three months of arrival at the emergency department, among survivors</w:t>
      </w:r>
    </w:p>
    <w:p>
      <w:pPr>
        <w:pStyle w:val="FirstParagraph"/>
      </w:pPr>
      <w:r>
        <w:t xml:space="preserve">Quality of life will be measured within the nested staircase design using the official and validated translations of the EQ-5D-5L. The EQ-5D-5L yields two outcome types: five ordinal domain scores (mobility, self-care, usual activities, pain/discomfort, and anxiety/depression), each rated on a Likert scale from 1 to 5, and a visual analogue scale (VAS) ranging from 0 to 100. For these analyses, period effects are defined on the global study timeline (not separately within each batch), and not all clusters contribute data in every period.</w:t>
      </w:r>
    </w:p>
    <w:p>
      <w:pPr>
        <w:pStyle w:val="BodyText"/>
      </w:pPr>
      <w:r>
        <w:t xml:space="preserve">For each of the five ordinal domains, we will use a mixed-effects cumulative logit (proportional odds) model:</w:t>
      </w:r>
    </w:p>
    <w:p>
      <w:pPr>
        <w:pStyle w:val="BodyText"/>
      </w:pPr>
      <w:bookmarkStart w:id="114"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6</m:t>
              </m:r>
            </m:e>
          </m:d>
        </m:oMath>
      </m:oMathPara>
      <w:bookmarkEnd w:id="114"/>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15"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7</m:t>
              </m:r>
            </m:e>
          </m:d>
        </m:oMath>
      </m:oMathPara>
      <w:bookmarkEnd w:id="115"/>
    </w:p>
    <w:bookmarkEnd w:id="116"/>
    <w:bookmarkStart w:id="117" w:name="X90cb4e0ebfb4fe618dcdd24cc99dbcaedd01b78"/>
    <w:p>
      <w:pPr>
        <w:pStyle w:val="Heading4"/>
      </w:pPr>
      <w:r>
        <w:t xml:space="preserve">9.1.2.3 Disability within seven days of discharge, and at 30 days and three months of arrival at the emergency department, among survivors</w:t>
      </w:r>
    </w:p>
    <w:p>
      <w:pPr>
        <w:pStyle w:val="FirstParagraph"/>
      </w:pPr>
      <w:r>
        <w:t xml:space="preserve">Disability will be measured within the nested staircase design using the WHO Disability Assessment Schedule 2.0 (WHODAS 2.0)</w:t>
      </w:r>
      <w:r>
        <w:rPr>
          <w:vertAlign w:val="superscript"/>
        </w:rPr>
        <w:t xml:space="preserve">18</w:t>
      </w:r>
      <w:r>
        <w:t xml:space="preserve">. This tool assesses six domains of functioning: cognition, mobility, self-care, getting along, life activities, and participation. Each domain is rated on a likert scale from 1 to 5, with 1 indicating no difficulties and 5 indicating extreme difficulties. As for quality of life, period effects are defined on the global study timeline, and not all clusters contribute data in every period. We will analyse each domain separately using a mixed effects ordinal model as specified in</w:t>
      </w:r>
      <w:r>
        <w:t xml:space="preserve"> </w:t>
      </w:r>
      <w:hyperlink w:anchor="eq-ordinal-model">
        <w:r>
          <w:rPr>
            <w:rStyle w:val="Hyperlink"/>
          </w:rPr>
          <w:t xml:space="preserve">Equation 6</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7</w:t>
        </w:r>
      </w:hyperlink>
      <w:r>
        <w:t xml:space="preserve">.</w:t>
      </w:r>
    </w:p>
    <w:bookmarkEnd w:id="117"/>
    <w:bookmarkStart w:id="118" w:name="X0c0155e4b87aec11ab06b9d09220f8543002113"/>
    <w:p>
      <w:pPr>
        <w:pStyle w:val="Heading4"/>
      </w:pPr>
      <w:r>
        <w:t xml:space="preserve">9.1.2.4 Return to work at 30 days and three months after arrival at the emergency department, among survivors</w:t>
      </w:r>
    </w:p>
    <w:p>
      <w:pPr>
        <w:pStyle w:val="FirstParagraph"/>
      </w:pPr>
      <w:r>
        <w:t xml:space="preserve">Return to work will be analysed as a dichotomous outcome using the same mixed-effects binomial model that is selected for the primary analysis under Analysis of the primary outcome (the most complex model in that sequence that converges), with the logit and identity links, to estimate odds ratios and absolute risk differences.</w:t>
      </w:r>
    </w:p>
    <w:bookmarkEnd w:id="118"/>
    <w:bookmarkStart w:id="120" w:name="length-of-emergency-department-stay"/>
    <w:p>
      <w:pPr>
        <w:pStyle w:val="Heading4"/>
      </w:pPr>
      <w:r>
        <w:t xml:space="preserve">9.1.2.5 Length of emergency department stay</w:t>
      </w:r>
    </w:p>
    <w:p>
      <w:pPr>
        <w:pStyle w:val="FirstParagraph"/>
      </w:pPr>
      <w:r>
        <w:t xml:space="preserve">Length of emergency department stay will be analysed as a count outcome: the number of hours from arrival at the emergency department until ED exit. Exit may occur via ward admission, ICU admission, transfer to another hospital, death, or discharge home; all of these routes contribute the observed ED duration. The purpose of the analysis is to estimate the effect of ATLS® on mean ED length of stay. Death and transfer truncate the observed stay and are not treated as censoring; mortality is analysed separately as a primary and secondary outcome.</w:t>
      </w:r>
    </w:p>
    <w:p>
      <w:pPr>
        <w:pStyle w:val="BodyText"/>
      </w:pPr>
      <w:r>
        <w:t xml:space="preserve">The preferred model is a mixed-effects negative binomial regression with a log link, including fixed effects for intervention exposure and batch-specific categorical period effects, a random intercept for cluster, and a random cluster-by-period effect, as specified in</w:t>
      </w:r>
      <w:r>
        <w:t xml:space="preserve"> </w:t>
      </w:r>
      <w:hyperlink w:anchor="eq-length-of-stay-model">
        <w:r>
          <w:rPr>
            <w:rStyle w:val="Hyperlink"/>
          </w:rPr>
          <w:t xml:space="preserve">Equation 8</w:t>
        </w:r>
      </w:hyperlink>
      <w:r>
        <w:t xml:space="preserve">. If this model does not converge, we will simplify the random-effects and period structure following the same sequence of decreasing complexity as for the primary outcome. The intervention effect</w:t>
      </w:r>
      <w:r>
        <w:t xml:space="preserve"> </w:t>
      </w:r>
      <m:oMath>
        <m:r>
          <m:t>θ</m:t>
        </m:r>
      </m:oMath>
      <w:r>
        <w:t xml:space="preserve"> </w:t>
      </w:r>
      <w:r>
        <w:t xml:space="preserve">is the log rate ratio for ED length of stay associated with ATLS® exposure compared with standard care; we will also report the corresponding multiplicative effect on the mean count (rate ratio).</w:t>
      </w:r>
    </w:p>
    <w:p>
      <w:pPr>
        <w:pStyle w:val="BodyText"/>
      </w:pPr>
      <w:bookmarkStart w:id="119" w:name="eq-length-of-stay-model"/>
      <m:oMathPara>
        <m:oMathParaPr>
          <m:jc m:val="center"/>
        </m:oMathParaPr>
        <m:oMath>
          <m:r>
            <m:rPr>
              <m:sty m:val="p"/>
            </m:rPr>
            <m:t>log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8</m:t>
              </m:r>
            </m:e>
          </m:d>
        </m:oMath>
      </m:oMathPara>
      <w:bookmarkEnd w:id="119"/>
    </w:p>
    <w:p>
      <w:pPr>
        <w:pStyle w:val="FirstParagraph"/>
      </w:pPr>
      <w:r>
        <w:t xml:space="preserve">Where</w:t>
      </w:r>
      <w:r>
        <w:t xml:space="preserve"> </w:t>
      </w:r>
      <m:oMath>
        <m:sSub>
          <m:e>
            <m:r>
              <m:t>Y</m:t>
            </m:r>
          </m:e>
          <m:sub>
            <m:r>
              <m:t>b</m:t>
            </m:r>
            <m:r>
              <m:t>k</m:t>
            </m:r>
            <m:r>
              <m:t>t</m:t>
            </m:r>
            <m:r>
              <m:t>i</m:t>
            </m:r>
          </m:sub>
        </m:sSub>
      </m:oMath>
      <w:r>
        <w:t xml:space="preserve"> </w:t>
      </w:r>
      <w:r>
        <w:t xml:space="preserve">is the length-of-stay count for patient</w:t>
      </w:r>
      <w:r>
        <w:t xml:space="preserve"> </w:t>
      </w:r>
      <m:oMath>
        <m:r>
          <m:t>i</m:t>
        </m:r>
      </m:oMath>
      <w:r>
        <w:t xml:space="preserve"> </w:t>
      </w:r>
      <w:r>
        <w:t xml:space="preserve">in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and all other terms are defined as in the primary analysis model. A dispersion parameter will be estimated as part of the negative binomial model.</w:t>
      </w:r>
    </w:p>
    <w:bookmarkEnd w:id="120"/>
    <w:bookmarkStart w:id="121" w:name="length-of-hospital-stay"/>
    <w:p>
      <w:pPr>
        <w:pStyle w:val="Heading4"/>
      </w:pPr>
      <w:r>
        <w:t xml:space="preserve">9.1.2.6 Length of hospital stay</w:t>
      </w:r>
    </w:p>
    <w:p>
      <w:pPr>
        <w:pStyle w:val="FirstParagraph"/>
      </w:pPr>
      <w:r>
        <w:t xml:space="preserve">Length of hospital stay will be analysed as a count outcome: the number of days from arrival at the emergency department to hospital discharge (or death in hospital). The analysis uses the same preferred negative binomial specification and the same convergence sequence as for ED length of stay (</w:t>
      </w:r>
      <w:hyperlink w:anchor="eq-length-of-stay-model">
        <w:r>
          <w:rPr>
            <w:rStyle w:val="Hyperlink"/>
          </w:rPr>
          <w:t xml:space="preserve">Equation 8</w:t>
        </w:r>
      </w:hyperlink>
      <w:r>
        <w:t xml:space="preserve">), with the same handling of death and transfer.</w:t>
      </w:r>
    </w:p>
    <w:bookmarkEnd w:id="121"/>
    <w:bookmarkStart w:id="122" w:name="intensive-care-unit-admission"/>
    <w:p>
      <w:pPr>
        <w:pStyle w:val="Heading4"/>
      </w:pPr>
      <w:r>
        <w:t xml:space="preserve">9.1.2.7 Intensive care unit admission</w:t>
      </w:r>
    </w:p>
    <w:p>
      <w:pPr>
        <w:pStyle w:val="FirstParagraph"/>
      </w:pPr>
      <w:r>
        <w:t xml:space="preserve">Intensive care unit admission will be analysed as a dichotomous outcome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 Patients who die or are transferred without ICU admission will be classified according to whether ICU admission occurred before that event.</w:t>
      </w:r>
    </w:p>
    <w:bookmarkEnd w:id="122"/>
    <w:bookmarkStart w:id="123" w:name="length-of-intensive-care-unit-stay"/>
    <w:p>
      <w:pPr>
        <w:pStyle w:val="Heading4"/>
      </w:pPr>
      <w:r>
        <w:t xml:space="preserve">9.1.2.8 Length of intensive care unit stay</w:t>
      </w:r>
    </w:p>
    <w:p>
      <w:pPr>
        <w:pStyle w:val="FirstParagraph"/>
      </w:pPr>
      <w:r>
        <w:t xml:space="preserve">Length of intensive care unit stay will be analysed as a count outcome among patients admitted to ICU: the number of days from ICU admission to ICU discharge (or death in ICU). The analysis uses the same preferred negative binomial specification and the same convergence sequence as for the other length-of-stay outcomes (</w:t>
      </w:r>
      <w:hyperlink w:anchor="eq-length-of-stay-model">
        <w:r>
          <w:rPr>
            <w:rStyle w:val="Hyperlink"/>
          </w:rPr>
          <w:t xml:space="preserve">Equation 8</w:t>
        </w:r>
      </w:hyperlink>
      <w:r>
        <w:t xml:space="preserve">), with the same handling of death and transfer.</w:t>
      </w:r>
    </w:p>
    <w:bookmarkEnd w:id="123"/>
    <w:bookmarkStart w:id="125" w:name="X5037a1d47abaf80439915bb3ba5c524d444c7d7"/>
    <w:p>
      <w:pPr>
        <w:pStyle w:val="Heading4"/>
      </w:pPr>
      <w:r>
        <w:t xml:space="preserve">9.1.2.9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within the nested staircase design, in both the standard care and ATLS® periods, using a 14-item checklist that covers the key steps of the ATLS® primary survey. Adherence will be measured as the percentage of completed checklist items (completion of all 14 steps corresponds to 100% adherence). For these analyses, period effects are defined on the global study timeline (not separately within each batch), and not all clusters contribute data in every period. This outcome will be analysed using a mixed-effects beta regression model with a logit link, with the percentage first expressed as a proportion on the 0–1 scale:</w:t>
      </w:r>
    </w:p>
    <w:p>
      <w:pPr>
        <w:pStyle w:val="BodyText"/>
      </w:pPr>
      <w:bookmarkStart w:id="124"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9</m:t>
              </m:r>
            </m:e>
          </m:d>
        </m:oMath>
      </m:oMathPara>
      <w:bookmarkEnd w:id="124"/>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25"/>
    <w:bookmarkEnd w:id="126"/>
    <w:bookmarkEnd w:id="127"/>
    <w:bookmarkStart w:id="128" w:name="correlations"/>
    <w:p>
      <w:pPr>
        <w:pStyle w:val="Heading2"/>
      </w:pPr>
      <w:r>
        <w:t xml:space="preserve">9.2 Correlations</w:t>
      </w:r>
    </w:p>
    <w:p>
      <w:pPr>
        <w:pStyle w:val="FirstParagraph"/>
      </w:pPr>
      <w:r>
        <w:t xml:space="preserve">We will report time-adjusted within-cluster correlations for all outcomes with 95% CIs, including the intra-cluster correlation (ICC) and within- and between-period correlations implied by the assumed correlation structures, together with all estimated variance components. For binary outcomes, these correlations will additionally be reported on the latent scale.</w:t>
      </w:r>
    </w:p>
    <w:p>
      <w:pPr>
        <w:pStyle w:val="BodyText"/>
      </w:pPr>
      <w:r>
        <w:t xml:space="preserve">Intra-cluster and related correlation parameters will be derived from the estimated variance components of the fitted models. For models with an AR(1) within-cluster structure, the correlation parameter will be estimated directly from the AR(1) structure. These parameters will be presented as a supplementary table. See</w:t>
      </w:r>
      <w:r>
        <w:t xml:space="preserve"> </w:t>
      </w:r>
      <w:hyperlink w:anchor="tbl-correlation-parameters">
        <w:r>
          <w:rPr>
            <w:rStyle w:val="Hyperlink"/>
          </w:rPr>
          <w:t xml:space="preserve">Table 12</w:t>
        </w:r>
      </w:hyperlink>
      <w:r>
        <w:t xml:space="preserve">.</w:t>
      </w:r>
    </w:p>
    <w:bookmarkEnd w:id="128"/>
    <w:bookmarkStart w:id="129" w:name="sec-treatment-of-missing-data"/>
    <w:p>
      <w:pPr>
        <w:pStyle w:val="Heading2"/>
      </w:pPr>
      <w:r>
        <w:t xml:space="preserve">9.3 Missing data</w:t>
      </w:r>
    </w:p>
    <w:p>
      <w:pPr>
        <w:pStyle w:val="FirstParagraph"/>
      </w:pPr>
      <w:r>
        <w:t xml:space="preserve">We will present the frequency and percentage of missing data for all variables. Handling of missing data for the primary analysis will depend on the percentage of missing data for the primary outcome.</w:t>
      </w:r>
    </w:p>
    <w:p>
      <w:pPr>
        <w:pStyle w:val="BodyText"/>
      </w:pPr>
      <w:r>
        <w:t xml:space="preserve">If less than 10% of participants have a missing primary outcome, we will use an available-case approach. The primary unadjusted analysis will include all participants with observed primary outcome data. Adjusted analyses will be restricted to participants with complete data on the adjustment covariates, and the unadjusted analysis will be repeated in this complete-case population to allow the results of the unadjusted and adjusted analyses to be directly compared.</w:t>
      </w:r>
    </w:p>
    <w:p>
      <w:pPr>
        <w:pStyle w:val="BodyText"/>
      </w:pPr>
      <w:r>
        <w:t xml:space="preserve">If 10% or more of participants have a missing primary outcome, we will use multiple imputation by chained equations (MICE) under a missing-at-random assumption, imputing the primary outcome, secondary outcomes as required for analysis, and the covariates included in the fully adjusted model, with a minimum of 20 imputations. The imputation model will reflect the hierarchical data structure, including clustering at the hospital level and design variables such as period and intervention exposure. Unadjusted and adjusted analyses will then be conducted using the imputed datasets. We will also present the corresponding complete-case analyses for comparison. Secondary outcomes will not be imputed under the available-case approach.</w:t>
      </w:r>
    </w:p>
    <w:p>
      <w:pPr>
        <w:pStyle w:val="BodyText"/>
      </w:pPr>
      <w:r>
        <w:t xml:space="preserve">If there is evidence that data are missing not at random, we will explore this in a sensitivity analysis.</w:t>
      </w:r>
    </w:p>
    <w:bookmarkEnd w:id="129"/>
    <w:bookmarkStart w:id="139" w:name="sensitivity-analyses"/>
    <w:p>
      <w:pPr>
        <w:pStyle w:val="Heading2"/>
      </w:pPr>
      <w:r>
        <w:t xml:space="preserve">9.4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 If a sensitivity model does not converge, we will report that fact and, where feasible, fit the next simpler random-effects or period specification analogous to the primary-analysis convergence sequence.</w:t>
      </w:r>
    </w:p>
    <w:bookmarkStart w:id="131" w:name="X22dda602ebb4652e0fd291705062d91648ada05"/>
    <w:p>
      <w:pPr>
        <w:pStyle w:val="Heading4"/>
      </w:pPr>
      <w:r>
        <w:t xml:space="preserve">9.4.0.1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10</w:t>
        </w:r>
      </w:hyperlink>
      <w:r>
        <w:t xml:space="preserve">. This parameterisation assumes that correlations between cluster-level random effects decay geometrically with increasing temporal separation between periods.</w:t>
      </w:r>
    </w:p>
    <w:p>
      <w:pPr>
        <w:pStyle w:val="BodyText"/>
      </w:pPr>
      <w:bookmarkStart w:id="130"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10</m:t>
              </m:r>
            </m:e>
          </m:d>
        </m:oMath>
      </m:oMathPara>
      <w:bookmarkEnd w:id="130"/>
    </w:p>
    <w:p>
      <w:pPr>
        <w:pStyle w:val="FirstParagraph"/>
      </w:pPr>
      <w:r>
        <w:t xml:space="preserve">Where:</w:t>
      </w:r>
    </w:p>
    <w:p>
      <w:pPr>
        <w:pStyle w:val="Compact"/>
        <w:numPr>
          <w:ilvl w:val="0"/>
          <w:numId w:val="1019"/>
        </w:numPr>
      </w:pPr>
      <m:oMath>
        <m:r>
          <m:t>ρ</m:t>
        </m:r>
      </m:oMath>
      <w:r>
        <w:t xml:space="preserve"> </w:t>
      </w:r>
      <w:r>
        <w:t xml:space="preserve">is the correlation parameter governing the association between adjacent periods within the same cluster.</w:t>
      </w:r>
    </w:p>
    <w:p>
      <w:pPr>
        <w:pStyle w:val="Compact"/>
        <w:numPr>
          <w:ilvl w:val="0"/>
          <w:numId w:val="1019"/>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9"/>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131"/>
    <w:bookmarkStart w:id="133" w:name="X831bc7e780a434f5c3512e5d33d43284b7d37ce"/>
    <w:p>
      <w:pPr>
        <w:pStyle w:val="Heading4"/>
      </w:pPr>
      <w:r>
        <w:t xml:space="preserve">9.4.0.2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with a non-zero covariance between this slope and the cluster random intercept (as anticipated in the protocol). The cluster-by-period random effect remains independent of both. The model is specified in</w:t>
      </w:r>
      <w:r>
        <w:t xml:space="preserve"> </w:t>
      </w:r>
      <w:hyperlink w:anchor="eq-model-random-cluster-intervention">
        <w:r>
          <w:rPr>
            <w:rStyle w:val="Hyperlink"/>
          </w:rPr>
          <w:t xml:space="preserve">Equation 11</w:t>
        </w:r>
      </w:hyperlink>
      <w:r>
        <w:t xml:space="preserve">.</w:t>
      </w:r>
    </w:p>
    <w:p>
      <w:pPr>
        <w:pStyle w:val="BodyText"/>
      </w:pPr>
      <w:bookmarkStart w:id="132"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11</m:t>
              </m:r>
            </m:e>
          </m:d>
        </m:oMath>
      </m:oMathPara>
      <w:bookmarkEnd w:id="132"/>
    </w:p>
    <w:p>
      <w:pPr>
        <w:pStyle w:val="FirstParagraph"/>
      </w:pPr>
      <w:r>
        <w:t xml:space="preserve">Where:</w:t>
      </w:r>
    </w:p>
    <w:p>
      <w:pPr>
        <w:pStyle w:val="Compact"/>
        <w:numPr>
          <w:ilvl w:val="0"/>
          <w:numId w:val="1020"/>
        </w:numPr>
      </w:pPr>
      <m:oMath>
        <m:sSub>
          <m:e>
            <m:r>
              <m:t>u</m:t>
            </m:r>
          </m:e>
          <m:sub>
            <m:r>
              <m:t>b</m:t>
            </m:r>
            <m:r>
              <m:t>k</m:t>
            </m:r>
          </m:sub>
        </m:sSub>
      </m:oMath>
      <w:r>
        <w:t xml:space="preserve"> </w:t>
      </w:r>
      <w:r>
        <w:t xml:space="preserve">is a random effect representing cluster-specific deviations from the average intervention effect.</w:t>
      </w:r>
    </w:p>
    <w:p>
      <w:pPr>
        <w:pStyle w:val="Compact"/>
        <w:numPr>
          <w:ilvl w:val="0"/>
          <w:numId w:val="1020"/>
        </w:numPr>
      </w:pPr>
      <w:r>
        <w:t xml:space="preserve">The cluster intercept and intervention slope are jointly normally distributed,</w:t>
      </w:r>
    </w:p>
    <w:p>
      <w:pPr>
        <w:pStyle w:val="Compac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sSubSup>
                          <m:e>
                            <m:r>
                              <m:t>σ</m:t>
                            </m:r>
                          </m:e>
                          <m:sub>
                            <m:r>
                              <m:t>α</m:t>
                            </m:r>
                          </m:sub>
                          <m:sup>
                            <m:r>
                              <m:t>2</m:t>
                            </m:r>
                          </m:sup>
                        </m:sSubSup>
                      </m:e>
                      <m:e>
                        <m:sSub>
                          <m:e>
                            <m:r>
                              <m:t>σ</m:t>
                            </m:r>
                          </m:e>
                          <m:sub>
                            <m:r>
                              <m:t>α</m:t>
                            </m:r>
                            <m:r>
                              <m:t>u</m:t>
                            </m:r>
                          </m:sub>
                        </m:sSub>
                      </m:e>
                    </m:mr>
                    <m:mr>
                      <m:e>
                        <m:sSub>
                          <m:e>
                            <m:r>
                              <m:t>σ</m:t>
                            </m:r>
                          </m:e>
                          <m:sub>
                            <m:r>
                              <m:t>α</m:t>
                            </m:r>
                            <m:r>
                              <m:t>u</m:t>
                            </m:r>
                          </m:sub>
                        </m:sSub>
                      </m:e>
                      <m:e>
                        <m:sSubSup>
                          <m:e>
                            <m:r>
                              <m:t>σ</m:t>
                            </m:r>
                          </m:e>
                          <m:sub>
                            <m:r>
                              <m:t>u</m:t>
                            </m:r>
                          </m:sub>
                          <m:sup>
                            <m:r>
                              <m:t>2</m:t>
                            </m:r>
                          </m:sup>
                        </m:sSubSup>
                      </m:e>
                    </m:mr>
                  </m:m>
                </m:e>
              </m:d>
            </m:e>
          </m:d>
          <m:r>
            <m:rPr>
              <m:sty m:val="p"/>
            </m:rPr>
            <m:t>,</m:t>
          </m:r>
        </m:oMath>
      </m:oMathPara>
    </w:p>
    <w:p>
      <w:pPr>
        <w:pStyle w:val="Compact"/>
        <w:numPr>
          <w:ilvl w:val="0"/>
          <w:numId w:val="1000"/>
        </w:numPr>
      </w:pPr>
      <w:r>
        <w:t xml:space="preserve">with</w:t>
      </w:r>
      <w:r>
        <w:t xml:space="preserve"> </w:t>
      </w:r>
      <m:oMath>
        <m:sSub>
          <m:e>
            <m:r>
              <m:t>σ</m:t>
            </m:r>
          </m:e>
          <m:sub>
            <m:r>
              <m:t>α</m:t>
            </m:r>
            <m:r>
              <m:t>u</m:t>
            </m:r>
          </m:sub>
        </m:sSub>
        <m:r>
          <m:rPr>
            <m:sty m:val="p"/>
          </m:rPr>
          <m:t>≠</m:t>
        </m:r>
        <m:r>
          <m:t>0</m:t>
        </m:r>
      </m:oMath>
      <w:r>
        <w:t xml:space="preserve"> </w:t>
      </w:r>
      <w:r>
        <w:t xml:space="preserve">allowed.</w:t>
      </w:r>
    </w:p>
    <w:p>
      <w:pPr>
        <w:pStyle w:val="Compact"/>
        <w:numPr>
          <w:ilvl w:val="0"/>
          <w:numId w:val="1020"/>
        </w:numPr>
      </w:pPr>
      <m:oMath>
        <m:sSub>
          <m:e>
            <m:r>
              <m:t>γ</m:t>
            </m:r>
          </m:e>
          <m:sub>
            <m:r>
              <m:t>b</m:t>
            </m:r>
            <m:r>
              <m:t>k</m:t>
            </m:r>
            <m:r>
              <m:t>t</m:t>
            </m:r>
          </m:sub>
        </m:sSub>
        <m:r>
          <m:rPr>
            <m:sty m:val="p"/>
          </m:rPr>
          <m:t>∼</m:t>
        </m:r>
        <m:r>
          <m:rPr>
            <m:sty m:val="p"/>
            <m:scr m:val="script"/>
          </m:rPr>
          <m:t>N</m:t>
        </m:r>
        <m:d>
          <m:dPr>
            <m:begChr m:val="("/>
            <m:sepChr m:val=""/>
            <m:endChr m:val=")"/>
            <m:grow/>
          </m:dPr>
          <m:e>
            <m:r>
              <m:t>0</m:t>
            </m:r>
            <m:r>
              <m:rPr>
                <m:sty m:val="p"/>
              </m:rPr>
              <m:t>,</m:t>
            </m:r>
            <m:sSubSup>
              <m:e>
                <m:r>
                  <m:t>σ</m:t>
                </m:r>
              </m:e>
              <m:sub>
                <m:r>
                  <m:t>γ</m:t>
                </m:r>
              </m:sub>
              <m:sup>
                <m:r>
                  <m:t>2</m:t>
                </m:r>
              </m:sup>
            </m:sSubSup>
          </m:e>
        </m:d>
      </m:oMath>
      <w:r>
        <w:t xml:space="preserve"> </w:t>
      </w:r>
      <w:r>
        <w:t xml:space="preserve">is independent of</w:t>
      </w:r>
      <w:r>
        <w:t xml:space="preserve"> </w:t>
      </w:r>
      <m:oMath>
        <m:d>
          <m:dPr>
            <m:begChr m:val="("/>
            <m:sepChr m:val=""/>
            <m:endChr m:val=")"/>
            <m:grow/>
          </m:dPr>
          <m:e>
            <m:sSub>
              <m:e>
                <m:r>
                  <m:t>α</m:t>
                </m:r>
              </m:e>
              <m:sub>
                <m:r>
                  <m:t>b</m:t>
                </m:r>
                <m:r>
                  <m:t>k</m:t>
                </m:r>
              </m:sub>
            </m:sSub>
            <m:r>
              <m:rPr>
                <m:sty m:val="p"/>
              </m:rPr>
              <m:t>,</m:t>
            </m:r>
            <m:sSub>
              <m:e>
                <m:r>
                  <m:t>u</m:t>
                </m:r>
              </m:e>
              <m:sub>
                <m:r>
                  <m:t>b</m:t>
                </m:r>
                <m:r>
                  <m:t>k</m:t>
                </m:r>
              </m:sub>
            </m:sSub>
          </m:e>
        </m:d>
      </m:oMath>
      <w:r>
        <w:t xml:space="preserve">.</w:t>
      </w:r>
    </w:p>
    <w:bookmarkEnd w:id="133"/>
    <w:bookmarkStart w:id="135" w:name="Xb7b1d3ff7c24f0b8dca2081a41dd1947ef59e07"/>
    <w:p>
      <w:pPr>
        <w:pStyle w:val="Heading4"/>
      </w:pPr>
      <w:r>
        <w:t xml:space="preserve">9.4.0.3 Models with time modelled with a spline function</w:t>
      </w:r>
    </w:p>
    <w:p>
      <w:pPr>
        <w:pStyle w:val="FirstParagraph"/>
      </w:pPr>
      <w:r>
        <w:t xml:space="preserve">We will further explore the potential for a time-varying treatment effect</w:t>
      </w:r>
      <w:r>
        <w:rPr>
          <w:vertAlign w:val="superscript"/>
        </w:rPr>
        <w:t xml:space="preserve">19</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12</w:t>
        </w:r>
      </w:hyperlink>
      <w:r>
        <w:t xml:space="preserve">.</w:t>
      </w:r>
    </w:p>
    <w:p>
      <w:pPr>
        <w:pStyle w:val="BodyText"/>
      </w:pPr>
      <w:bookmarkStart w:id="134"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34"/>
    </w:p>
    <w:p>
      <w:pPr>
        <w:pStyle w:val="FirstParagraph"/>
      </w:pPr>
      <w:r>
        <w:t xml:space="preserve">Where:</w:t>
      </w:r>
    </w:p>
    <w:p>
      <w:pPr>
        <w:pStyle w:val="Compact"/>
        <w:numPr>
          <w:ilvl w:val="0"/>
          <w:numId w:val="1021"/>
        </w:numPr>
      </w:pPr>
      <m:oMath>
        <m:r>
          <m:t>t</m:t>
        </m:r>
      </m:oMath>
      <w:r>
        <w:t xml:space="preserve"> </w:t>
      </w:r>
      <w:r>
        <w:t xml:space="preserve">denotes calendar time (period index) common to all batches.</w:t>
      </w:r>
    </w:p>
    <w:p>
      <w:pPr>
        <w:pStyle w:val="Compact"/>
        <w:numPr>
          <w:ilvl w:val="0"/>
          <w:numId w:val="1021"/>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21"/>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135"/>
    <w:bookmarkStart w:id="137" w:name="models-exploring-lag-and-weaning-effects"/>
    <w:p>
      <w:pPr>
        <w:pStyle w:val="Heading4"/>
      </w:pPr>
      <w:r>
        <w:t xml:space="preserve">9.4.0.4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13</w:t>
        </w:r>
      </w:hyperlink>
      <w:r>
        <w:t xml:space="preserve">.</w:t>
      </w:r>
    </w:p>
    <w:p>
      <w:pPr>
        <w:pStyle w:val="BodyText"/>
      </w:pPr>
      <w:bookmarkStart w:id="136"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13</m:t>
              </m:r>
            </m:e>
          </m:d>
        </m:oMath>
      </m:oMathPara>
      <w:bookmarkEnd w:id="136"/>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137"/>
    <w:bookmarkStart w:id="138" w:name="adjusted-analyses"/>
    <w:p>
      <w:pPr>
        <w:pStyle w:val="Heading3"/>
      </w:pPr>
      <w:r>
        <w:t xml:space="preserve">9.4.1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22"/>
        </w:numPr>
      </w:pPr>
      <w:r>
        <w:t xml:space="preserve">Age (&lt;5%)</w:t>
      </w:r>
    </w:p>
    <w:p>
      <w:pPr>
        <w:pStyle w:val="Compact"/>
        <w:numPr>
          <w:ilvl w:val="0"/>
          <w:numId w:val="1022"/>
        </w:numPr>
      </w:pPr>
      <w:r>
        <w:t xml:space="preserve">Sex (&lt;5%)</w:t>
      </w:r>
    </w:p>
    <w:p>
      <w:pPr>
        <w:pStyle w:val="Compact"/>
        <w:numPr>
          <w:ilvl w:val="0"/>
          <w:numId w:val="1022"/>
        </w:numPr>
      </w:pPr>
      <w:r>
        <w:t xml:space="preserve">Systolic blood pressure (25%)</w:t>
      </w:r>
    </w:p>
    <w:p>
      <w:pPr>
        <w:pStyle w:val="Compact"/>
        <w:numPr>
          <w:ilvl w:val="0"/>
          <w:numId w:val="1022"/>
        </w:numPr>
      </w:pPr>
      <w:r>
        <w:t xml:space="preserve">Glasgow Coma Scale (25%)</w:t>
      </w:r>
    </w:p>
    <w:p>
      <w:pPr>
        <w:pStyle w:val="Compact"/>
        <w:numPr>
          <w:ilvl w:val="0"/>
          <w:numId w:val="1022"/>
        </w:numPr>
      </w:pPr>
      <w:r>
        <w:t xml:space="preserve">Injury Severity Score (10%)</w:t>
      </w:r>
    </w:p>
    <w:p>
      <w:pPr>
        <w:pStyle w:val="Compact"/>
        <w:numPr>
          <w:ilvl w:val="0"/>
          <w:numId w:val="1022"/>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38"/>
    <w:bookmarkEnd w:id="139"/>
    <w:bookmarkStart w:id="140" w:name="subgroup-analyses"/>
    <w:p>
      <w:pPr>
        <w:pStyle w:val="Heading2"/>
      </w:pPr>
      <w:r>
        <w:t xml:space="preserve">9.5 Subgroup analyses</w:t>
      </w:r>
    </w:p>
    <w:p>
      <w:pPr>
        <w:pStyle w:val="FirstParagraph"/>
      </w:pPr>
      <w:r>
        <w:t xml:space="preserve">We will perform the following subgroup analyses of the primary outcome:</w:t>
      </w:r>
    </w:p>
    <w:p>
      <w:pPr>
        <w:pStyle w:val="Compact"/>
        <w:numPr>
          <w:ilvl w:val="0"/>
          <w:numId w:val="1023"/>
        </w:numPr>
      </w:pPr>
      <w:r>
        <w:t xml:space="preserve">geographical region, defined using the state in which the participating hospital is located, with each state as a separate category; the number of states depends on the final set of participating clusters and cannot be prespecified;</w:t>
      </w:r>
    </w:p>
    <w:p>
      <w:pPr>
        <w:pStyle w:val="Compact"/>
        <w:numPr>
          <w:ilvl w:val="0"/>
          <w:numId w:val="1023"/>
        </w:numPr>
      </w:pPr>
      <w:r>
        <w:t xml:space="preserve">age groups, defined as older adolescents (15-19 years), young adults (20-24 years), adults (25-59 years), and older adults (60 years and older)</w:t>
      </w:r>
      <w:r>
        <w:rPr>
          <w:vertAlign w:val="superscript"/>
        </w:rPr>
        <w:t xml:space="preserve">20</w:t>
      </w:r>
      <w:r>
        <w:t xml:space="preserve">;</w:t>
      </w:r>
    </w:p>
    <w:p>
      <w:pPr>
        <w:pStyle w:val="Compact"/>
        <w:numPr>
          <w:ilvl w:val="0"/>
          <w:numId w:val="1023"/>
        </w:numPr>
      </w:pPr>
      <w:r>
        <w:t xml:space="preserve">sex, using the levels male and female;</w:t>
      </w:r>
    </w:p>
    <w:p>
      <w:pPr>
        <w:pStyle w:val="Compact"/>
        <w:numPr>
          <w:ilvl w:val="0"/>
          <w:numId w:val="1023"/>
        </w:numPr>
      </w:pPr>
      <w:r>
        <w:t xml:space="preserve">clinical cohorts, defined as blunt multisystem trauma, penetrating trauma, and severe isolated traumatic brain injury, with modification to avoid overlap between the cohorts</w:t>
      </w:r>
      <w:r>
        <w:rPr>
          <w:vertAlign w:val="superscript"/>
        </w:rPr>
        <w:t xml:space="preserve">21</w:t>
      </w:r>
      <w:r>
        <w:t xml:space="preserve">; this subgroup analysis will include only patients classified into one of these three cohorts;</w:t>
      </w:r>
    </w:p>
    <w:p>
      <w:pPr>
        <w:pStyle w:val="Compact"/>
        <w:numPr>
          <w:ilvl w:val="0"/>
          <w:numId w:val="1023"/>
        </w:numPr>
      </w:pPr>
      <w:r>
        <w:t xml:space="preserve">patients with major trauma, defined as patients with an injury severity score (ISS) of 16 or higher versus those with ISS below 16;</w:t>
      </w:r>
    </w:p>
    <w:p>
      <w:pPr>
        <w:pStyle w:val="Compact"/>
        <w:numPr>
          <w:ilvl w:val="0"/>
          <w:numId w:val="1023"/>
        </w:numPr>
      </w:pPr>
      <w:r>
        <w:t xml:space="preserve">cluster size, defined as the monthly volume of eligible patients (as used for covariate-constrained randomisation) and categorised as small (fewer than 12 patients per month), medium (12–20), or large (more than 20)</w:t>
      </w:r>
    </w:p>
    <w:p>
      <w:pPr>
        <w:pStyle w:val="FirstParagraph"/>
      </w:pPr>
      <w:r>
        <w:t xml:space="preserve">Each subgroup analysis will use the same mixed-effects binomial model that is selected for the primary analysis under Analysis of the primary outcome (the most complex model in that sequence that converges), with the logit and identity links as for the primary outcome. We will add the subgroup variable and the interaction between the subgroup variable and intervention exposure as fixed effects. Subgroup-specific intervention effects (odds ratios and absolute risk differences) will be obtained from that model as the intervention effect within each subgroup level, combining the main intervention effect with the corresponding interaction term, and will be reported with 95% CIs. We will also report the interaction p-value as a test of heterogeneity across subgroup levels. Results will be presented in</w:t>
      </w:r>
      <w:r>
        <w:t xml:space="preserve"> </w:t>
      </w:r>
      <w:hyperlink w:anchor="tbl-additional-analyses-results">
        <w:r>
          <w:rPr>
            <w:rStyle w:val="Hyperlink"/>
          </w:rPr>
          <w:t xml:space="preserve">Table 8</w:t>
        </w:r>
      </w:hyperlink>
      <w:r>
        <w:t xml:space="preserve"> </w:t>
      </w:r>
      <w:r>
        <w:t xml:space="preserve">and as a forest plot of subgroup-specific intervention effects with 95% CIs (see</w:t>
      </w:r>
      <w:r>
        <w:t xml:space="preserve"> </w:t>
      </w:r>
      <w:hyperlink w:anchor="fig-subgroup-forest-plot">
        <w:r>
          <w:rPr>
            <w:rStyle w:val="Hyperlink"/>
          </w:rPr>
          <w:t xml:space="preserve">Figure 7</w:t>
        </w:r>
      </w:hyperlink>
      <w:r>
        <w:t xml:space="preserve">).</w:t>
      </w:r>
    </w:p>
    <w:bookmarkEnd w:id="140"/>
    <w:bookmarkStart w:id="141" w:name="safety-events"/>
    <w:p>
      <w:pPr>
        <w:pStyle w:val="Heading2"/>
      </w:pPr>
      <w:r>
        <w:t xml:space="preserve">9.6 Safety events</w:t>
      </w:r>
    </w:p>
    <w:p>
      <w:pPr>
        <w:pStyle w:val="FirstParagraph"/>
      </w:pPr>
      <w:r>
        <w:t xml:space="preserve">Safety events, as defined in the trial protocol, will be summarised as counts and percentages of patients with at least one recorded event, stratified by before and after ATLS training and overall. We will not adjust for clustering in these summaries. See</w:t>
      </w:r>
      <w:r>
        <w:t xml:space="preserve"> </w:t>
      </w:r>
      <w:hyperlink w:anchor="tbl-safety-events">
        <w:r>
          <w:rPr>
            <w:rStyle w:val="Hyperlink"/>
          </w:rPr>
          <w:t xml:space="preserve">Table 6</w:t>
        </w:r>
      </w:hyperlink>
      <w:r>
        <w:t xml:space="preserve"> </w:t>
      </w:r>
      <w:r>
        <w:t xml:space="preserve">for details.</w:t>
      </w:r>
    </w:p>
    <w:bookmarkEnd w:id="141"/>
    <w:bookmarkStart w:id="142" w:name="statistical-software"/>
    <w:p>
      <w:pPr>
        <w:pStyle w:val="Heading2"/>
      </w:pPr>
      <w:r>
        <w:t xml:space="preserve">9.7 Statistical software</w:t>
      </w:r>
    </w:p>
    <w:p>
      <w:pPr>
        <w:pStyle w:val="FirstParagraph"/>
      </w:pPr>
      <w:r>
        <w:t xml:space="preserve">We will use the R Statistical Software for all analyses</w:t>
      </w:r>
      <w:r>
        <w:rPr>
          <w:vertAlign w:val="superscript"/>
        </w:rPr>
        <w:t xml:space="preserve">22</w:t>
      </w:r>
      <w:r>
        <w:t xml:space="preserve">. Specific packages for mixed-effects modelling, small-sample corrections, multiple imputation, and reporting tables will be selected closer to the time of analysis based on convergence behaviour and available methodology, and will be documented in the analysis code and final report.</w:t>
      </w:r>
    </w:p>
    <w:bookmarkEnd w:id="142"/>
    <w:bookmarkStart w:id="143" w:name="presentation-of-analysis-results"/>
    <w:p>
      <w:pPr>
        <w:pStyle w:val="Heading2"/>
      </w:pPr>
      <w:r>
        <w:t xml:space="preserve">9.8 Presentation of analysis results</w:t>
      </w:r>
    </w:p>
    <w:p>
      <w:pPr>
        <w:pStyle w:val="FirstParagraph"/>
      </w:pPr>
      <w:r>
        <w:t xml:space="preserve">Intervention-effect estimates for the primary and secondary outcomes will be reported with 95% CIs and p-values, using the effect measures specified for each outcome. We will present key outcome analyses in the results section, and present all outcome analyses as supplementary tables. See</w:t>
      </w:r>
      <w:r>
        <w:t xml:space="preserve"> </w:t>
      </w:r>
      <w:hyperlink w:anchor="tbl-outcomes-analysis-results">
        <w:r>
          <w:rPr>
            <w:rStyle w:val="Hyperlink"/>
          </w:rPr>
          <w:t xml:space="preserve">Table 7</w:t>
        </w:r>
      </w:hyperlink>
      <w:r>
        <w:t xml:space="preserve"> </w:t>
      </w:r>
      <w:r>
        <w:t xml:space="preserve">for key analyses and</w:t>
      </w:r>
      <w:r>
        <w:t xml:space="preserve"> </w:t>
      </w:r>
      <w:hyperlink w:anchor="tbl-outcomes-analysis-results-all">
        <w:r>
          <w:rPr>
            <w:rStyle w:val="Hyperlink"/>
          </w:rPr>
          <w:t xml:space="preserve">Table 11</w:t>
        </w:r>
      </w:hyperlink>
      <w:r>
        <w:t xml:space="preserve"> </w:t>
      </w:r>
      <w:r>
        <w:t xml:space="preserve">for all analyses.</w:t>
      </w:r>
    </w:p>
    <w:p>
      <w:pPr>
        <w:pStyle w:val="BodyText"/>
      </w:pPr>
      <w:r>
        <w:t xml:space="preserve">Sensitivity, fully adjusted, and subgroup analyses of the primary outcome will be reported in the same style. See</w:t>
      </w:r>
      <w:r>
        <w:t xml:space="preserve"> </w:t>
      </w:r>
      <w:hyperlink w:anchor="tbl-additional-analyses-results">
        <w:r>
          <w:rPr>
            <w:rStyle w:val="Hyperlink"/>
          </w:rPr>
          <w:t xml:space="preserve">Table 8</w:t>
        </w:r>
      </w:hyperlink>
      <w:r>
        <w:t xml:space="preserve">. Subgroup-specific intervention effects will also be presented in a forest plot with 95% CIs for the odds ratio and absolute risk difference. See</w:t>
      </w:r>
      <w:r>
        <w:t xml:space="preserve"> </w:t>
      </w:r>
      <w:hyperlink w:anchor="fig-subgroup-forest-plot">
        <w:r>
          <w:rPr>
            <w:rStyle w:val="Hyperlink"/>
          </w:rPr>
          <w:t xml:space="preserve">Figure 7</w:t>
        </w:r>
      </w:hyperlink>
      <w:r>
        <w:t xml:space="preserve">.</w:t>
      </w:r>
    </w:p>
    <w:p>
      <w:pPr>
        <w:pStyle w:val="BodyText"/>
      </w:pPr>
      <w:r>
        <w:t xml:space="preserve">Time-adjusted within-cluster correlations and variance components will be presented as a supplementary table, as specified under Correlations. See</w:t>
      </w:r>
      <w:r>
        <w:t xml:space="preserve"> </w:t>
      </w:r>
      <w:hyperlink w:anchor="tbl-correlation-parameters">
        <w:r>
          <w:rPr>
            <w:rStyle w:val="Hyperlink"/>
          </w:rPr>
          <w:t xml:space="preserve">Table 12</w:t>
        </w:r>
      </w:hyperlink>
      <w:r>
        <w:t xml:space="preserve">.</w:t>
      </w:r>
    </w:p>
    <w:bookmarkEnd w:id="143"/>
    <w:bookmarkEnd w:id="144"/>
    <w:bookmarkStart w:id="174" w:name="shell-tables-and-figures"/>
    <w:p>
      <w:pPr>
        <w:pStyle w:val="Heading1"/>
      </w:pPr>
      <w:r>
        <w:t xml:space="preserve">10. Shell tables and figures</w:t>
      </w:r>
    </w:p>
    <w:p>
      <w:pPr>
        <w:pStyle w:val="FirstParagraph"/>
      </w:pPr>
      <w:r>
        <w:t xml:space="preserve">Reporting shells cited in the plan are collected here for reference.</w:t>
      </w:r>
    </w:p>
    <w:bookmarkStart w:id="157" w:name="consort-diagrams"/>
    <w:p>
      <w:pPr>
        <w:pStyle w:val="Heading2"/>
      </w:pPr>
      <w:r>
        <w:t xml:space="preserve">10.1 CONSORT diagrams</w:t>
      </w:r>
    </w:p>
    <w:tbl>
      <w:tblPr>
        <w:tblStyle w:val="Table"/>
        <w:tblW w:type="pct" w:w="5000"/>
        <w:tblLayout w:type="fixed"/>
        <w:tblLook w:firstRow="0" w:lastRow="0" w:firstColumn="0" w:lastColumn="0" w:noHBand="0" w:noVBand="0" w:val="0000"/>
      </w:tblPr>
      <w:tblGrid>
        <w:gridCol w:w="7920"/>
      </w:tblGrid>
      <w:tr>
        <w:tc>
          <w:tcPr/>
          <w:bookmarkStart w:id="148" w:name="fig-consort-clusters"/>
          <w:p>
            <w:pPr>
              <w:pStyle w:val="Compact"/>
              <w:jc w:val="center"/>
            </w:pPr>
            <w:r>
              <w:drawing>
                <wp:inline>
                  <wp:extent cx="5334000" cy="3677994"/>
                  <wp:effectExtent b="0" l="0" r="0" t="0"/>
                  <wp:docPr descr="" title="" id="146" name="Picture"/>
                  <a:graphic>
                    <a:graphicData uri="http://schemas.openxmlformats.org/drawingml/2006/picture">
                      <pic:pic>
                        <pic:nvPicPr>
                          <pic:cNvPr descr="consort-diagram-clusters-5-sequences.png" id="147" name="Picture"/>
                          <pic:cNvPicPr>
                            <a:picLocks noChangeArrowheads="1" noChangeAspect="1"/>
                          </pic:cNvPicPr>
                        </pic:nvPicPr>
                        <pic:blipFill>
                          <a:blip r:embed="rId145"/>
                          <a:stretch>
                            <a:fillRect/>
                          </a:stretch>
                        </pic:blipFill>
                        <pic:spPr bwMode="auto">
                          <a:xfrm>
                            <a:off x="0" y="0"/>
                            <a:ext cx="5334000" cy="367799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Cluster-level CONSORT diagram shell. Placeholders cover clusters assessed and randomised, losses and exclusions after randomisation with reasons, and clusters included in the primary analysis, by sequence and overall. The flowchart summarises data across all batches 1-6.</w:t>
            </w:r>
          </w:p>
          <w:bookmarkEnd w:id="148"/>
        </w:tc>
      </w:tr>
    </w:tbl>
    <w:tbl>
      <w:tblPr>
        <w:tblStyle w:val="Table"/>
        <w:tblW w:type="pct" w:w="5000"/>
        <w:tblLayout w:type="fixed"/>
        <w:tblLook w:firstRow="0" w:lastRow="0" w:firstColumn="0" w:lastColumn="0" w:noHBand="0" w:noVBand="0" w:val="0000"/>
      </w:tblPr>
      <w:tblGrid>
        <w:gridCol w:w="7920"/>
      </w:tblGrid>
      <w:tr>
        <w:tc>
          <w:tcPr/>
          <w:bookmarkStart w:id="152" w:name="fig-consort-patients"/>
          <w:p>
            <w:pPr>
              <w:pStyle w:val="Compact"/>
              <w:jc w:val="center"/>
            </w:pPr>
            <w:r>
              <w:drawing>
                <wp:inline>
                  <wp:extent cx="5334000" cy="4207500"/>
                  <wp:effectExtent b="0" l="0" r="0" t="0"/>
                  <wp:docPr descr="" title="" id="150" name="Picture"/>
                  <a:graphic>
                    <a:graphicData uri="http://schemas.openxmlformats.org/drawingml/2006/picture">
                      <pic:pic>
                        <pic:nvPicPr>
                          <pic:cNvPr descr="consort-diagram-patients-5-sequences.png" id="151" name="Picture"/>
                          <pic:cNvPicPr>
                            <a:picLocks noChangeArrowheads="1" noChangeAspect="1"/>
                          </pic:cNvPicPr>
                        </pic:nvPicPr>
                        <pic:blipFill>
                          <a:blip r:embed="rId149"/>
                          <a:stretch>
                            <a:fillRect/>
                          </a:stretch>
                        </pic:blipFill>
                        <pic:spPr bwMode="auto">
                          <a:xfrm>
                            <a:off x="0" y="0"/>
                            <a:ext cx="5334000" cy="420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Patient-level CONSORT diagram shell. Placeholders cover patients entered, losses and exclusions from the primary analysis with reasons, and patients analysed, by sequence, before and after ATLS training, and overall. The flowchart summarises data across all batches 1-6.</w:t>
            </w:r>
          </w:p>
          <w:bookmarkEnd w:id="152"/>
        </w:tc>
      </w:tr>
    </w:tbl>
    <w:tbl>
      <w:tblPr>
        <w:tblStyle w:val="Table"/>
        <w:tblW w:type="pct" w:w="5000"/>
        <w:tblLayout w:type="fixed"/>
        <w:tblLook w:firstRow="0" w:lastRow="0" w:firstColumn="0" w:lastColumn="0" w:noHBand="0" w:noVBand="0" w:val="0000"/>
      </w:tblPr>
      <w:tblGrid>
        <w:gridCol w:w="7920"/>
      </w:tblGrid>
      <w:tr>
        <w:tc>
          <w:tcPr/>
          <w:bookmarkStart w:id="156" w:name="fig-consort-nested-staircase"/>
          <w:p>
            <w:pPr>
              <w:pStyle w:val="Compact"/>
              <w:jc w:val="center"/>
            </w:pPr>
            <w:r>
              <w:drawing>
                <wp:inline>
                  <wp:extent cx="5334000" cy="5450802"/>
                  <wp:effectExtent b="0" l="0" r="0" t="0"/>
                  <wp:docPr descr="" title="" id="154" name="Picture"/>
                  <a:graphic>
                    <a:graphicData uri="http://schemas.openxmlformats.org/drawingml/2006/picture">
                      <pic:pic>
                        <pic:nvPicPr>
                          <pic:cNvPr descr="consort-diagram-nested-staircase-5-sequences.png" id="155" name="Picture"/>
                          <pic:cNvPicPr>
                            <a:picLocks noChangeArrowheads="1" noChangeAspect="1"/>
                          </pic:cNvPicPr>
                        </pic:nvPicPr>
                        <pic:blipFill>
                          <a:blip r:embed="rId153"/>
                          <a:stretch>
                            <a:fillRect/>
                          </a:stretch>
                        </pic:blipFill>
                        <pic:spPr bwMode="auto">
                          <a:xfrm>
                            <a:off x="0" y="0"/>
                            <a:ext cx="5334000" cy="54508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Nested-staircase CONSORT diagram shell. Placeholders cover patients in staircase periods, the shift-stratified nested sample, losses and exclusions with reasons, and patients analysed for nested-staircase secondary outcomes, by sequence, before and after ATLS training, and overall. Coloured strip cells mark staircase months; grey cells are outside nested data collection. The flowchart summarises data across all batches 1-6.</w:t>
            </w:r>
          </w:p>
          <w:bookmarkEnd w:id="156"/>
        </w:tc>
      </w:tr>
    </w:tbl>
    <w:bookmarkEnd w:id="157"/>
    <w:bookmarkStart w:id="173" w:name="X80a688e98fe18834a62165815688859c41c0208"/>
    <w:p>
      <w:pPr>
        <w:pStyle w:val="Heading2"/>
      </w:pPr>
      <w:r>
        <w:t xml:space="preserve">10.2 Shell tables and figures for analysis results</w:t>
      </w:r>
    </w:p>
    <w:tbl>
      <w:tblPr>
        <w:tblStyle w:val="Table"/>
        <w:tblW w:type="pct" w:w="5000"/>
        <w:tblLayout w:type="fixed"/>
        <w:tblLook w:firstRow="0" w:lastRow="0" w:firstColumn="0" w:lastColumn="0" w:noHBand="0" w:noVBand="0" w:val="0000"/>
      </w:tblPr>
      <w:tblGrid>
        <w:gridCol w:w="7920"/>
      </w:tblGrid>
      <w:tr>
        <w:tc>
          <w:tcPr/>
          <w:bookmarkStart w:id="158" w:name="tbl-cluster-characteristics"/>
          <w:p>
            <w:pPr>
              <w:jc w:val="center"/>
            </w:pPr>
            <w:pPr>
              <w:jc w:val="left"/>
              <w:spacing w:before="200"/>
              <w:pStyle w:val="ImageCaption"/>
            </w:pPr>
            <w:r>
              <w:t xml:space="preserve">Table 2: Cluster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5"/>
                </w:tcPr>
                <w:p>
                  <w:pPr>
                    <w:spacing w:before="0" w:after="60"/>
                    <w:keepNext/>
                    <w:jc w:val="center"/>
                  </w:pPr>
                  <w:r>
                    <w:rPr>
                      <w:b w:val="true"/>
                      <w:rFonts w:ascii="Calibri" w:hAnsi="Calibri"/>
                      <w:sz w:val="20"/>
                    </w:rPr>
                    <w:t xml:space="preserve">Implementation sequence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Sequence 1</w:t>
                  </w:r>
                </w:p>
              </w:tc>
              <w:tc>
                <w:tcPr>
                  <w:tcBorders>
                    <w:bottom w:val="single" w:sz="16" w:space="0" w:color="D3D3D3"/>
                  </w:tcBorders>
                </w:tcPr>
                <w:p>
                  <w:pPr>
                    <w:spacing w:before="0" w:after="60"/>
                    <w:keepNext/>
                    <w:jc w:val="center"/>
                  </w:pPr>
                  <w:r>
                    <w:rPr>
                      <w:b w:val="true"/>
                      <w:rFonts w:ascii="Calibri" w:hAnsi="Calibri"/>
                      <w:sz w:val="20"/>
                    </w:rPr>
                    <w:t xml:space="preserve">Sequence 2</w:t>
                  </w:r>
                </w:p>
              </w:tc>
              <w:tc>
                <w:tcPr>
                  <w:tcBorders>
                    <w:bottom w:val="single" w:sz="16" w:space="0" w:color="D3D3D3"/>
                  </w:tcBorders>
                </w:tcPr>
                <w:p>
                  <w:pPr>
                    <w:spacing w:before="0" w:after="60"/>
                    <w:keepNext/>
                    <w:jc w:val="center"/>
                  </w:pPr>
                  <w:r>
                    <w:rPr>
                      <w:b w:val="true"/>
                      <w:rFonts w:ascii="Calibri" w:hAnsi="Calibri"/>
                      <w:sz w:val="20"/>
                    </w:rPr>
                    <w:t xml:space="preserve">Sequence 3</w:t>
                  </w:r>
                </w:p>
              </w:tc>
              <w:tc>
                <w:tcPr>
                  <w:tcBorders>
                    <w:bottom w:val="single" w:sz="16" w:space="0" w:color="D3D3D3"/>
                  </w:tcBorders>
                </w:tcPr>
                <w:p>
                  <w:pPr>
                    <w:spacing w:before="0" w:after="60"/>
                    <w:keepNext/>
                    <w:jc w:val="center"/>
                  </w:pPr>
                  <w:r>
                    <w:rPr>
                      <w:b w:val="true"/>
                      <w:rFonts w:ascii="Calibri" w:hAnsi="Calibri"/>
                      <w:sz w:val="20"/>
                    </w:rPr>
                    <w:t xml:space="preserve">Sequence 4</w:t>
                  </w:r>
                </w:p>
              </w:tc>
              <w:tc>
                <w:tcPr>
                  <w:tcBorders>
                    <w:bottom w:val="single" w:sz="16" w:space="0" w:color="D3D3D3"/>
                  </w:tcBorders>
                </w:tcPr>
                <w:p>
                  <w:pPr>
                    <w:spacing w:before="0" w:after="60"/>
                    <w:keepNext/>
                    <w:jc w:val="center"/>
                  </w:pPr>
                  <w:r>
                    <w:rPr>
                      <w:b w:val="true"/>
                      <w:rFonts w:ascii="Calibri" w:hAnsi="Calibri"/>
                      <w:sz w:val="20"/>
                    </w:rPr>
                    <w:t xml:space="preserve">Sequence 5</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States depend on participating clusters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Monthly trauma patient volume,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Dedicated trauma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Specialities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Vascular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Interventional radiology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Facilities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Ultrasound/FAST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MRI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Blood bank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Initial resuscitation provider,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Casualty medical officers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5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9" w:name="tbl-patient-characteristics"/>
          <w:p>
            <w:pPr>
              <w:jc w:val="center"/>
            </w:pPr>
            <w:pPr>
              <w:jc w:val="left"/>
              <w:spacing w:before="200"/>
              <w:pStyle w:val="ImageCaption"/>
            </w:pPr>
            <w:r>
              <w:t xml:space="preserve">Table 3: Key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5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0" w:name="tbl-intercurrent-events"/>
          <w:p>
            <w:pPr>
              <w:jc w:val="center"/>
            </w:pPr>
            <w:pPr>
              <w:jc w:val="left"/>
              <w:spacing w:before="200"/>
              <w:pStyle w:val="ImageCaption"/>
            </w:pPr>
            <w:r>
              <w:t xml:space="preserve">Table 4: Intercurrent events by outcome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Intercurrent event</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before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before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Incomplete observation of resuscitation,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before assessment,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before assessment,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before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before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before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before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6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1" w:name="tbl-outcomes-descriptive"/>
          <w:p>
            <w:pPr>
              <w:jc w:val="center"/>
            </w:pPr>
            <w:pPr>
              <w:jc w:val="left"/>
              <w:spacing w:before="200"/>
              <w:pStyle w:val="ImageCaption"/>
            </w:pPr>
            <w:r>
              <w:t xml:space="preserve">Table 5: Descriptive summaries of key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(hours),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6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2" w:name="tbl-safety-events"/>
          <w:p>
            <w:pPr>
              <w:jc w:val="center"/>
            </w:pPr>
            <w:pPr>
              <w:jc w:val="left"/>
              <w:spacing w:before="200"/>
              <w:pStyle w:val="ImageCaption"/>
            </w:pPr>
            <w:r>
              <w:t xml:space="preserve">Table 6: Safety events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Safety event</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Prolonged mechanical ventilation (&gt;7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Initiation of renal replacement therapy,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Prolonged (&gt;2 days) or renewed use of vasopressors such as norepinephrine or vasopressin,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reported safety events,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Events assessed as probably related to the trial or intervention,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6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3" w:name="tbl-outcomes-analysis-results"/>
          <w:p>
            <w:pPr>
              <w:jc w:val="center"/>
            </w:pPr>
            <w:pPr>
              <w:jc w:val="left"/>
              <w:spacing w:before="200"/>
              <w:pStyle w:val="ImageCaption"/>
            </w:pPr>
            <w:r>
              <w:t xml:space="preserve">Table 7: Shell table of key primary and secondary outcome analysis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Logit-scale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IRR = Incidence Rate Ratio, OR = Odds Ratio</w:t>
                  </w:r>
                </w:p>
              </w:tc>
            </w:tr>
          </w:tbl>
          <w:bookmarkEnd w:id="16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4" w:name="tbl-additional-analyses-results"/>
          <w:p>
            <w:pPr>
              <w:jc w:val="center"/>
            </w:pPr>
            <w:pPr>
              <w:jc w:val="left"/>
              <w:spacing w:before="200"/>
              <w:pStyle w:val="ImageCaption"/>
            </w:pPr>
            <w:r>
              <w:t xml:space="preserve">Table 8: Shell table of sensitivity, fully adjusted, and subgroup analysis results for the primary outcome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Analysis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Sensitivity analyses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Autoregressive within-cluster correlation (AR(1))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 cluster-by-intervention effects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 modelled with a spline function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(intervention)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(periods since first exposure)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Actual date of transition for intervention exposure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Fully adjusted analysis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Subgroup analyses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Geographical region (state-specific estimates; states depend on participating clusters)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adolescents (15-19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Young adults (20-24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Adults (25-59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adults (60 years and older)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Blunt multisystem trauma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Penetrating trauma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Severe isolated traumatic brain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&gt;=16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&lt;16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Small (&lt;12 patients/month)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Medium (12-20 patients/month)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Large (&gt;20 patients/month)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164"/>
        </w:tc>
      </w:tr>
    </w:tbl>
    <w:tbl>
      <w:tblPr>
        <w:tblStyle w:val="Table"/>
        <w:tblW w:type="pct" w:w="5000"/>
        <w:tblLayout w:type="fixed"/>
        <w:tblLook w:firstRow="0" w:lastRow="0" w:firstColumn="0" w:lastColumn="0" w:noHBand="0" w:noVBand="0" w:val="0000"/>
      </w:tblPr>
      <w:tblGrid>
        <w:gridCol w:w="7920"/>
      </w:tblGrid>
      <w:tr>
        <w:tc>
          <w:tcPr/>
          <w:bookmarkStart w:id="168" w:name="fig-subgroup-forest-plot"/>
          <w:p>
            <w:pPr>
              <w:pStyle w:val="Compact"/>
              <w:jc w:val="center"/>
            </w:pPr>
            <w:r>
              <w:drawing>
                <wp:inline>
                  <wp:extent cx="5334000" cy="4459275"/>
                  <wp:effectExtent b="0" l="0" r="0" t="0"/>
                  <wp:docPr descr="" title="" id="166" name="Picture"/>
                  <a:graphic>
                    <a:graphicData uri="http://schemas.openxmlformats.org/drawingml/2006/picture">
                      <pic:pic>
                        <pic:nvPicPr>
                          <pic:cNvPr descr="subgroup-forest-plot.png" id="167" name="Picture"/>
                          <pic:cNvPicPr>
                            <a:picLocks noChangeArrowheads="1" noChangeAspect="1"/>
                          </pic:cNvPicPr>
                        </pic:nvPicPr>
                        <pic:blipFill>
                          <a:blip r:embed="rId165"/>
                          <a:stretch>
                            <a:fillRect/>
                          </a:stretch>
                        </pic:blipFill>
                        <pic:spPr bwMode="auto">
                          <a:xfrm>
                            <a:off x="0" y="0"/>
                            <a:ext cx="5334000" cy="445927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Forest plot of subgroup-specific intervention effects on in-hospital mortality within 30 days. Estimates and confidence intervals are placeholders to be completed at analysis.</w:t>
            </w:r>
          </w:p>
          <w:bookmarkEnd w:id="168"/>
        </w:tc>
      </w:tr>
    </w:tbl>
    <w:tbl>
      <w:tblPr>
        <w:tblStyle w:val="Table"/>
        <w:tblW w:type="pct" w:w="5000"/>
        <w:tblLayout w:type="fixed"/>
        <w:tblLook w:firstRow="0" w:lastRow="0" w:firstColumn="0" w:lastColumn="0" w:noHBand="0" w:noVBand="0" w:val="0000"/>
      </w:tblPr>
      <w:tblGrid>
        <w:gridCol w:w="7920"/>
      </w:tblGrid>
      <w:tr>
        <w:tc>
          <w:tcPr/>
          <w:bookmarkStart w:id="169" w:name="tbl-patient-characteristics-all"/>
          <w:p>
            <w:pPr>
              <w:jc w:val="center"/>
            </w:pPr>
            <w:pPr>
              <w:jc w:val="left"/>
              <w:spacing w:before="200"/>
              <w:pStyle w:val="ImageCaption"/>
            </w:pPr>
            <w:r>
              <w:t xml:space="preserve">Table 9: All patient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Marital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Never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Currently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Separated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Divorced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Widowed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Cohabiting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Education level,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attended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Primary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Higher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Graduate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Post graduate and above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 work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Paid work, such as daily wage earner, teacher, factory worker and government employee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Self-employed, such as own your business or farming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Non-paid work, such as volunteer or charity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Student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Keeping house/homemaker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Retired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(health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(other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Income level (INR per month),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Below 10,000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10,001-20,000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20,001-30,000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30,001-50,000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50,001-80,000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80,001-1,00,000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Above 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Comorbidities (Charlson Comorbidity Index),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Myocardial infarction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Peripheral 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Cerebrovascular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Dementia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Rheumatologic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Peptic ulcer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Diabetes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Hemiplegia or paraplegia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Renal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Malignancy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Leukemia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Lymphoma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AIDS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liver disease,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or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diabetes,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malignancy,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Localized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Metastatic tumor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Frailty Scale,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Very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Managing well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Living with very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Living with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Living with moderate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 Living with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 Living with very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9. Terminally ill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 of transport,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Ambulance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Police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 vehicle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Walking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source data,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Medical record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 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notes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rate (beats/min),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Body temperature (°F),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Emergency department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Admitted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Referred or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admitting ward,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Intensive care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 dependency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Trauma ward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Preoperative ASA score,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A normal healthy patient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A patient with mild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A patient with severe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A patient with severe systemic disease that is a constant threat to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A moribund patient who is not expected to survive without the operation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A declared brain-dead patient whose organs are being removed for donor purposes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blood product,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Packed red blood cells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Platelets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Fresh frozen plasma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Whole blood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units transfused,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0" w:name="tbl-outcomes-descriptive-all"/>
          <w:p>
            <w:pPr>
              <w:jc w:val="center"/>
            </w:pPr>
            <w:pPr>
              <w:jc w:val="left"/>
              <w:spacing w:before="200"/>
              <w:pStyle w:val="ImageCaption"/>
            </w:pPr>
            <w:r>
              <w:t xml:space="preserve">Table 10: Descriptive summaries of all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(hours),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index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Extreme or cannot do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bl>
          <w:bookmarkEnd w:id="17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1" w:name="tbl-outcomes-analysis-results-all"/>
          <w:p>
            <w:pPr>
              <w:jc w:val="center"/>
            </w:pPr>
            <w:pPr>
              <w:jc w:val="left"/>
              <w:spacing w:before="200"/>
              <w:pStyle w:val="ImageCaption"/>
            </w:pPr>
            <w:r>
              <w:t xml:space="preserve">Table 11: Shell table of all primary and secondary outcome analysis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Logit-scale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cognition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mobility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self-care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getting along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life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participation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rFonts w:ascii="Calibri" w:hAnsi="Calibri"/>
                      <w:sz w:val="20"/>
                    </w:rPr>
                    <w:t xml:space="preserve">Abbreviations: CI = Confidence Interval, IRR = Incidence Rate Ratio, OR = Odds Ratio</w:t>
                  </w:r>
                </w:p>
              </w:tc>
            </w:tr>
          </w:tbl>
          <w:bookmarkEnd w:id="1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2" w:name="tbl-correlation-parameters"/>
          <w:p>
            <w:pPr>
              <w:jc w:val="center"/>
            </w:pPr>
            <w:pPr>
              <w:jc w:val="left"/>
              <w:spacing w:before="200"/>
              <w:pStyle w:val="ImageCaption"/>
            </w:pPr>
            <w:r>
              <w:t xml:space="preserve">Table 12: Shell table of within-cluster correlation parameters for all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Parameter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95% CI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In-hospital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24 hours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emergency department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hospital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Intensive care unit (ICU)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intensive care unit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Return to work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Return to work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Adherence to ATLS® principles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within seven days of discharge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within seven days of discharge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3"/>
                </w:tcPr>
                <w:p>
                  <w:pPr>
                    <w:spacing w:before="0" w:after="60"/>
                    <w:keepNext/>
                  </w:pPr>
                  <w:r>
                    <w:rPr>
                      <w:rFonts w:ascii="Calibri" w:hAnsi="Calibri"/>
                      <w:sz w:val="20"/>
                    </w:rPr>
                    <w:t xml:space="preserve">Abbreviation: CI = Confidence Interval</w:t>
                  </w:r>
                </w:p>
              </w:tc>
            </w:tr>
          </w:tbl>
          <w:bookmarkEnd w:id="172"/>
        </w:tc>
      </w:tr>
    </w:tbl>
    <w:bookmarkEnd w:id="173"/>
    <w:bookmarkEnd w:id="174"/>
    <w:bookmarkStart w:id="198" w:name="references"/>
    <w:p>
      <w:pPr>
        <w:pStyle w:val="Heading1"/>
      </w:pPr>
      <w:r>
        <w:t xml:space="preserve">11. References</w:t>
      </w:r>
    </w:p>
    <w:bookmarkStart w:id="197" w:name="refs"/>
    <w:bookmarkStart w:id="175"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75"/>
    <w:bookmarkStart w:id="176"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76"/>
    <w:bookmarkStart w:id="177" w:name="ref-acsAtls2018"/>
    <w:p>
      <w:pPr>
        <w:pStyle w:val="Bibliography"/>
      </w:pPr>
      <w:r>
        <w:t xml:space="preserve">3.</w:t>
      </w:r>
      <w:r>
        <w:t xml:space="preserve"> </w:t>
      </w:r>
      <w:r>
        <w:t xml:space="preserve">	</w:t>
      </w:r>
      <w:r>
        <w:t xml:space="preserve">Committee on Trauma.</w:t>
      </w:r>
      <w:r>
        <w:t xml:space="preserve"> </w:t>
      </w:r>
      <w:r>
        <w:rPr>
          <w:i/>
          <w:iCs/>
        </w:rPr>
        <w:t xml:space="preserve">Advanced trauma life support® student course manual</w:t>
      </w:r>
      <w:r>
        <w:t xml:space="preserve">. (American College of Surgeons, 2018).</w:t>
      </w:r>
    </w:p>
    <w:bookmarkEnd w:id="177"/>
    <w:bookmarkStart w:id="178"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78"/>
    <w:bookmarkStart w:id="179"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79"/>
    <w:bookmarkStart w:id="180"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80"/>
    <w:bookmarkStart w:id="181"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81"/>
    <w:bookmarkStart w:id="182"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82"/>
    <w:bookmarkStart w:id="183"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83"/>
    <w:bookmarkStart w:id="184"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84"/>
    <w:bookmarkStart w:id="185"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85"/>
    <w:bookmarkStart w:id="186"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86"/>
    <w:bookmarkStart w:id="187"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87"/>
    <w:bookmarkStart w:id="188" w:name="ref-escp_eagle_2024"/>
    <w:p>
      <w:pPr>
        <w:pStyle w:val="Bibliography"/>
      </w:pPr>
      <w:r>
        <w:t xml:space="preserve">14.</w:t>
      </w:r>
      <w:r>
        <w:t xml:space="preserve"> </w:t>
      </w:r>
      <w:r>
        <w:t xml:space="preserve">	</w:t>
      </w:r>
      <w:r>
        <w:t xml:space="preserve">ESCP EAGLE Safe Anastomosis Collaborative and NIHR Global Health Research Unit in Surgery</w:t>
      </w:r>
      <w:r>
        <w:t xml:space="preserve"> </w:t>
      </w:r>
      <w:r>
        <w:rPr>
          <w:i/>
          <w:iCs/>
        </w:rPr>
        <w:t xml:space="preserve">et al.</w:t>
      </w:r>
      <w:r>
        <w:t xml:space="preserve"> Evaluation of a quality improvement intervention to reduce anastomotic leak following right colectomy (</w:t>
      </w:r>
      <w:r>
        <w:t xml:space="preserve">EAGLE</w:t>
      </w:r>
      <w:r>
        <w:t xml:space="preserve">): Pragmatic, batched stepped-wedge, cluster-randomized trial in 64 countries.</w:t>
      </w:r>
      <w:r>
        <w:t xml:space="preserve"> </w:t>
      </w:r>
      <w:r>
        <w:rPr>
          <w:i/>
          <w:iCs/>
        </w:rPr>
        <w:t xml:space="preserve">British Journal of Surgery</w:t>
      </w:r>
      <w:r>
        <w:t xml:space="preserve"> </w:t>
      </w:r>
      <w:r>
        <w:rPr>
          <w:b/>
          <w:bCs/>
        </w:rPr>
        <w:t xml:space="preserve">111</w:t>
      </w:r>
      <w:r>
        <w:t xml:space="preserve">, znad370 (2024).</w:t>
      </w:r>
    </w:p>
    <w:bookmarkEnd w:id="188"/>
    <w:bookmarkStart w:id="189"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89"/>
    <w:bookmarkStart w:id="190" w:name="ref-aukstakalnis_impact_2024"/>
    <w:p>
      <w:pPr>
        <w:pStyle w:val="Bibliography"/>
      </w:pPr>
      <w:r>
        <w:t xml:space="preserve">16.</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90"/>
    <w:bookmarkStart w:id="191" w:name="ref-grantham_evaluating_2022"/>
    <w:p>
      <w:pPr>
        <w:pStyle w:val="Bibliography"/>
      </w:pPr>
      <w:r>
        <w:t xml:space="preserve">17.</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91"/>
    <w:bookmarkStart w:id="192" w:name="ref-ustun_measuring_2010"/>
    <w:p>
      <w:pPr>
        <w:pStyle w:val="Bibliography"/>
      </w:pPr>
      <w:r>
        <w:t xml:space="preserve">18.</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92"/>
    <w:bookmarkStart w:id="193" w:name="ref-kenny_analysis_2022"/>
    <w:p>
      <w:pPr>
        <w:pStyle w:val="Bibliography"/>
      </w:pPr>
      <w:r>
        <w:t xml:space="preserve">19.</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93"/>
    <w:bookmarkStart w:id="194" w:name="ref-Diaz2021"/>
    <w:p>
      <w:pPr>
        <w:pStyle w:val="Bibliography"/>
      </w:pPr>
      <w:r>
        <w:t xml:space="preserve">20.</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94"/>
    <w:bookmarkStart w:id="195" w:name="ref-hornor_quality_2018"/>
    <w:p>
      <w:pPr>
        <w:pStyle w:val="Bibliography"/>
      </w:pPr>
      <w:r>
        <w:t xml:space="preserve">21.</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95"/>
    <w:bookmarkStart w:id="196" w:name="ref-R"/>
    <w:p>
      <w:pPr>
        <w:pStyle w:val="Bibliography"/>
      </w:pPr>
      <w:r>
        <w:t xml:space="preserve">22.</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96"/>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2">
    <w:p>
      <w:pPr>
        <w:pStyle w:val="FootnoteText"/>
      </w:pPr>
      <w:r>
        <w:rPr>
          <w:rStyle w:val="FootnoteReference"/>
        </w:rPr>
        <w:footnoteRef/>
      </w:r>
      <w:r>
        <w:t xml:space="preserve"> </w:t>
      </w:r>
      <w:r>
        <w:t xml:space="preserve">These include but are not limited to the National Emergency Life Support (NELS) programme, the Basic Trauma Life Support (BTLS) programme, the Pre-Hospital Trauma Life Support (PHTLS) programme, the Trauma Nursing Core Course (TNCC) and the Advanced Trauma Care for Nurses (ATCN) programme.</w:t>
      </w:r>
    </w:p>
  </w:footnote>
  <w:footnote w:id="83">
    <w:p>
      <w:pPr>
        <w:pStyle w:val="FootnoteText"/>
      </w:pPr>
      <w:r>
        <w:rPr>
          <w:rStyle w:val="FootnoteReference"/>
        </w:rPr>
        <w:footnoteRef/>
      </w:r>
      <w:r>
        <w:t xml:space="preserve"> </w:t>
      </w:r>
      <w:r>
        <w:t xml:space="preserve">These include but are not limited to implementing of a trauma team approach, opening a trauma centre and implementing a trauma quality improvement programme.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4" Target="media/rId64.png" /><Relationship Type="http://schemas.openxmlformats.org/officeDocument/2006/relationships/image" Id="rId23" Target="media/rId23.png" /><Relationship Type="http://schemas.openxmlformats.org/officeDocument/2006/relationships/image" Id="rId145" Target="media/rId145.png" /><Relationship Type="http://schemas.openxmlformats.org/officeDocument/2006/relationships/image" Id="rId153" Target="media/rId153.png" /><Relationship Type="http://schemas.openxmlformats.org/officeDocument/2006/relationships/image" Id="rId149" Target="media/rId149.png" /><Relationship Type="http://schemas.openxmlformats.org/officeDocument/2006/relationships/image" Id="rId165" Target="media/rId165.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2026-09-11T03:16:17Z</dcterms:created>
  <dcterms:modified xsi:type="dcterms:W3CDTF">2026-09-11T03:16:17Z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0.7.0, 2026-08-04</vt:lpwstr>
  </property>
  <property fmtid="{D5CDD505-2E9C-101B-9397-08002B2CF9AE}" pid="15" name="titlepage-theme">
    <vt:lpwstr/>
  </property>
  <property fmtid="{D5CDD505-2E9C-101B-9397-08002B2CF9AE}" pid="16" name="toc-title">
    <vt:lpwstr>Table of contents</vt:lpwstr>
  </property>
</Properties>
</file>