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18"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 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 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Our primary statistical hypotheses are:</w:t>
      </w:r>
    </w:p>
    <w:p>
      <w:pPr>
        <w:pStyle w:val="Compact"/>
        <w:numPr>
          <w:ilvl w:val="0"/>
          <w:numId w:val="1005"/>
        </w:numPr>
      </w:pPr>
      <w:r>
        <w:rPr>
          <w:b/>
          <w:bCs/>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 and the absolute risk difference (ARD) would be 0.</w:t>
      </w:r>
    </w:p>
    <w:p>
      <w:pPr>
        <w:pStyle w:val="Compact"/>
        <w:numPr>
          <w:ilvl w:val="0"/>
          <w:numId w:val="1005"/>
        </w:numPr>
      </w:pPr>
      <w:r>
        <w:rPr>
          <w:b/>
          <w:bCs/>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and the ARD would be different from 0. Our expectation, based on our pilot study and review of the literature, is that the OR will be less than 1 and the ARD will be less than 0,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77" w:name="analysis-sets"/>
    <w:p>
      <w:pPr>
        <w:pStyle w:val="Heading2"/>
      </w:pPr>
      <w:r>
        <w:t xml:space="preserve">5.7 Analysis sets</w:t>
      </w:r>
    </w:p>
    <w:p>
      <w:pPr>
        <w:pStyle w:val="FirstParagraph"/>
      </w:pPr>
      <w:r>
        <w:t xml:space="preserve">The unit of randomisation is the hospital, because all units trained in the same hospital will be treated as one cluster, but the unit of analysis is the individual patient. The primary analysis set will include all observations within clusters with available data and irrespective of the receipt of the intervention. 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we will conduct a sensitivity analysis using the actual date of transition to define exposure.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7"/>
    <w:bookmarkStart w:id="80" w:name="baseline-analyses"/>
    <w:p>
      <w:pPr>
        <w:pStyle w:val="Heading2"/>
      </w:pPr>
      <w:r>
        <w:t xml:space="preserve">5.8 Baseline analyses</w:t>
      </w:r>
    </w:p>
    <w:bookmarkStart w:id="78"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8"/>
    <w:bookmarkStart w:id="79"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9"/>
    <w:bookmarkEnd w:id="80"/>
    <w:bookmarkStart w:id="81"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1"/>
    <w:bookmarkStart w:id="103"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2"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2"/>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3"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3"/>
    </w:p>
    <w:p>
      <w:pPr>
        <w:pStyle w:val="Compact"/>
        <w:numPr>
          <w:ilvl w:val="0"/>
          <w:numId w:val="1008"/>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4"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4"/>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5"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5"/>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6"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86"/>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9"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8"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7"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87"/>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8"/>
    <w:bookmarkStart w:id="90"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9"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89"/>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0"/>
    <w:bookmarkStart w:id="92"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1"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1"/>
    </w:p>
    <w:p>
      <w:pPr>
        <w:pStyle w:val="FirstParagraph"/>
      </w:pPr>
      <w:r>
        <w:t xml:space="preserve">Where:</w:t>
      </w:r>
    </w:p>
    <w:p>
      <w:pPr>
        <w:pStyle w:val="Compact"/>
        <w:numPr>
          <w:ilvl w:val="0"/>
          <w:numId w:val="1012"/>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2"/>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2"/>
    <w:bookmarkStart w:id="94"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3"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3"/>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4"/>
    <w:bookmarkStart w:id="96"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5"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5"/>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6"/>
    <w:bookmarkStart w:id="98"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7"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97"/>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8"/>
    <w:bookmarkEnd w:id="99"/>
    <w:bookmarkStart w:id="100"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0"/>
    <w:bookmarkStart w:id="101"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5"/>
        </w:numPr>
      </w:pPr>
      <w:r>
        <w:t xml:space="preserve">geographical region, defined using the state in which the participating hospital is located;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5"/>
        </w:numPr>
      </w:pPr>
      <w:r>
        <w:t xml:space="preserve">patients with major trauma, defined as patients with an injury severity score (ISS) of 16 or higher;</w:t>
      </w:r>
    </w:p>
    <w:p>
      <w:pPr>
        <w:pStyle w:val="Compact"/>
        <w:numPr>
          <w:ilvl w:val="0"/>
          <w:numId w:val="1015"/>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1"/>
    <w:bookmarkStart w:id="102"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2"/>
    <w:bookmarkEnd w:id="103"/>
    <w:bookmarkStart w:id="117"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4"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4"/>
    <w:bookmarkStart w:id="107"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5"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5"/>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6"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06"/>
    </w:p>
    <w:bookmarkEnd w:id="107"/>
    <w:bookmarkStart w:id="108"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8"/>
    <w:bookmarkStart w:id="109"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9"/>
    <w:bookmarkStart w:id="111"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0"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0"/>
    </w:p>
    <w:p>
      <w:pPr>
        <w:pStyle w:val="FirstParagraph"/>
      </w:pPr>
      <w:r>
        <w:t xml:space="preserve">Where:</w:t>
      </w:r>
    </w:p>
    <w:p>
      <w:pPr>
        <w:pStyle w:val="Compact"/>
        <w:numPr>
          <w:ilvl w:val="0"/>
          <w:numId w:val="1016"/>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6"/>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6"/>
        </w:numPr>
      </w:pPr>
      <m:oMath>
        <m:r>
          <m:t>θ</m:t>
        </m:r>
      </m:oMath>
      <w:r>
        <w:t xml:space="preserve">: under the Fine–Gray model, represents the log subdistribution hazard ratio for discharge associated with ATLS® exposure.</w:t>
      </w:r>
    </w:p>
    <w:p>
      <w:pPr>
        <w:pStyle w:val="Compact"/>
        <w:numPr>
          <w:ilvl w:val="0"/>
          <w:numId w:val="1016"/>
        </w:numPr>
      </w:pPr>
      <w:r>
        <w:t xml:space="preserve">All other terms are defined as in the primary analysis model.</w:t>
      </w:r>
    </w:p>
    <w:bookmarkEnd w:id="111"/>
    <w:bookmarkStart w:id="112"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2"/>
    <w:bookmarkStart w:id="113"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4"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4"/>
    <w:bookmarkStart w:id="116"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5"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5"/>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6"/>
    <w:bookmarkEnd w:id="117"/>
    <w:bookmarkEnd w:id="118"/>
    <w:bookmarkStart w:id="140" w:name="references"/>
    <w:p>
      <w:pPr>
        <w:pStyle w:val="Heading1"/>
      </w:pPr>
      <w:r>
        <w:t xml:space="preserve">6. References</w:t>
      </w:r>
    </w:p>
    <w:bookmarkStart w:id="139" w:name="refs"/>
    <w:bookmarkStart w:id="11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19"/>
    <w:bookmarkStart w:id="12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0"/>
    <w:bookmarkStart w:id="12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1"/>
    <w:bookmarkStart w:id="12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2"/>
    <w:bookmarkStart w:id="12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3"/>
    <w:bookmarkStart w:id="12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4"/>
    <w:bookmarkStart w:id="12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5"/>
    <w:bookmarkStart w:id="12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26"/>
    <w:bookmarkStart w:id="12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27"/>
    <w:bookmarkStart w:id="12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28"/>
    <w:bookmarkStart w:id="12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29"/>
    <w:bookmarkStart w:id="13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0"/>
    <w:bookmarkStart w:id="13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1"/>
    <w:bookmarkStart w:id="13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2"/>
    <w:bookmarkStart w:id="13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3"/>
    <w:bookmarkStart w:id="13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4"/>
    <w:bookmarkStart w:id="13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5"/>
    <w:bookmarkStart w:id="13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36"/>
    <w:bookmarkStart w:id="13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37"/>
    <w:bookmarkStart w:id="13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2026-05-27T04:59:35Z</dcterms:created>
  <dcterms:modified xsi:type="dcterms:W3CDTF">2026-05-27T04:59:35Z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