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23.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w:t>
      </w:r>
      <w:r>
        <w:t xml:space="preserve"> </w:t>
      </w:r>
      <w:r>
        <w:t xml:space="preserve">Analysis</w:t>
      </w:r>
      <w:r>
        <w:t xml:space="preserve"> </w:t>
      </w:r>
      <w:r>
        <w:t xml:space="preserve">Plan</w:t>
      </w:r>
    </w:p>
    <w:p>
      <w:pPr>
        <w:pStyle w:val="Author"/>
      </w:pPr>
      <w:r>
        <w:t xml:space="preserve">Version</w:t>
      </w:r>
      <w:r>
        <w:t xml:space="preserve"> </w:t>
      </w:r>
      <w:r>
        <w:t xml:space="preserve">0.5.0</w:t>
      </w:r>
      <w:r>
        <w:t xml:space="preserve">,</w:t>
      </w:r>
      <w:r>
        <w:t xml:space="preserve"> </w:t>
      </w:r>
      <w:r>
        <w:t xml:space="preserve">2025-10-14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ook w:firstRow="1" w:lastRow="0" w:firstColumn="0" w:lastColumn="0" w:noHBand="0" w:noVBand="0" w:val="0020"/>
        <w:jc w:val="start"/>
      </w:tblPr>
      <w:tblGrid>
        <w:gridCol w:w="4248"/>
        <w:gridCol w:w="2202"/>
        <w:gridCol w:w="1468"/>
      </w:tblGrid>
      <w:tr>
        <w:trPr>
          <w:tblHeader w:val="true"/>
        </w:trPr>
        <w:tc>
          <w:tcPr/>
          <w:p>
            <w:pPr>
              <w:pStyle w:val="Compact"/>
              <w:jc w:val="left"/>
            </w:pPr>
            <w:r>
              <w:t xml:space="preserve">Name and ORCID</w:t>
            </w:r>
          </w:p>
        </w:tc>
        <w:tc>
          <w:tcPr/>
          <w:p>
            <w:pPr>
              <w:pStyle w:val="Compact"/>
              <w:jc w:val="left"/>
            </w:pPr>
            <w:r>
              <w:t xml:space="preserve">Affiliation</w:t>
            </w:r>
          </w:p>
        </w:tc>
        <w:tc>
          <w:tcPr/>
          <w:p>
            <w:pPr>
              <w:pStyle w:val="Compact"/>
              <w:jc w:val="left"/>
            </w:pPr>
            <w:r>
              <w:t xml:space="preserve">Role</w:t>
            </w:r>
          </w:p>
        </w:tc>
      </w:tr>
      <w:tr>
        <w:tc>
          <w:tcPr/>
          <w:p>
            <w:pPr>
              <w:pStyle w:val="Compact"/>
              <w:jc w:val="lef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Principal Investigator</w:t>
            </w:r>
          </w:p>
        </w:tc>
      </w:tr>
      <w:tr>
        <w:tc>
          <w:tcPr/>
          <w:p>
            <w:pPr>
              <w:pStyle w:val="Compact"/>
              <w:jc w:val="lef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Statistician, TMG member</w:t>
            </w:r>
          </w:p>
        </w:tc>
      </w:tr>
      <w:tr>
        <w:tc>
          <w:tcPr/>
          <w:p>
            <w:pPr>
              <w:pStyle w:val="Compact"/>
              <w:jc w:val="lef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 TMG member</w:t>
            </w:r>
          </w:p>
        </w:tc>
      </w:tr>
      <w:tr>
        <w:tc>
          <w:tcPr/>
          <w:p>
            <w:pPr>
              <w:pStyle w:val="Compact"/>
              <w:jc w:val="lef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w:t>
            </w:r>
          </w:p>
        </w:tc>
      </w:tr>
      <w:tr>
        <w:tc>
          <w:tcPr/>
          <w:p>
            <w:pPr>
              <w:pStyle w:val="Compact"/>
              <w:jc w:val="lef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Monash University, Melbourne, Australia</w:t>
            </w:r>
          </w:p>
        </w:tc>
        <w:tc>
          <w:tcPr/>
          <w:p>
            <w:pPr>
              <w:pStyle w:val="Compact"/>
              <w:jc w:val="lef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Cs/>
          <w:b/>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Cluster Randomised Trial</w:t>
      </w:r>
    </w:p>
    <w:p>
      <w:pPr>
        <w:pStyle w:val="BodyText"/>
      </w:pPr>
      <w:r>
        <w:rPr>
          <w:bCs/>
          <w:b/>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Cs/>
          <w:b/>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Cs/>
          <w:b/>
        </w:rPr>
        <w:t xml:space="preserve">Primary Outcome</w:t>
      </w:r>
      <w:r>
        <w:t xml:space="preserve"> </w:t>
      </w:r>
      <w:r>
        <w:t xml:space="preserve">In-hospital mortality within 30 days of arrival at the emergency department.</w:t>
      </w:r>
    </w:p>
    <w:p>
      <w:pPr>
        <w:pStyle w:val="BodyText"/>
      </w:pPr>
      <w:r>
        <w:rPr>
          <w:bCs/>
          <w:b/>
        </w:rPr>
        <w:t xml:space="preserve">Trial Design</w:t>
      </w:r>
      <w:r>
        <w:t xml:space="preserve"> </w:t>
      </w:r>
      <w:r>
        <w:t xml:space="preserve">Batched stepped-wedge cluster randomised trial in India.</w:t>
      </w:r>
    </w:p>
    <w:p>
      <w:pPr>
        <w:pStyle w:val="BodyText"/>
      </w:pPr>
      <w:r>
        <w:rPr>
          <w:bCs/>
          <w:b/>
        </w:rPr>
        <w:t xml:space="preserve">Trial Population</w:t>
      </w:r>
      <w:r>
        <w:t xml:space="preserve"> </w:t>
      </w:r>
      <w:r>
        <w:t xml:space="preserve">Adult trauma patients presenting to the emergency department of a participating hospital.</w:t>
      </w:r>
    </w:p>
    <w:p>
      <w:pPr>
        <w:pStyle w:val="BodyText"/>
      </w:pPr>
      <w:r>
        <w:rPr>
          <w:bCs/>
          <w:b/>
        </w:rPr>
        <w:t xml:space="preserve">Sample Size</w:t>
      </w:r>
      <w:r>
        <w:t xml:space="preserve"> </w:t>
      </w:r>
      <w:r>
        <w:t xml:space="preserve">30 clusters and 4320 patients.</w:t>
      </w:r>
    </w:p>
    <w:p>
      <w:pPr>
        <w:pStyle w:val="BodyText"/>
      </w:pPr>
      <w:r>
        <w:rPr>
          <w:bCs/>
          <w:b/>
        </w:rPr>
        <w:t xml:space="preserve">Eligibility Criteria</w:t>
      </w:r>
    </w:p>
    <w:p>
      <w:pPr>
        <w:pStyle w:val="BodyText"/>
      </w:pPr>
      <w:r>
        <w:rPr>
          <w:iCs/>
          <w:i/>
        </w:rPr>
        <w:t xml:space="preserve">Hospitals</w:t>
      </w:r>
      <w:r>
        <w:t xml:space="preserve"> </w:t>
      </w:r>
      <w:r>
        <w:t xml:space="preserve">are secondary or tertiary hospitals in India that admit or refer/transfer for admission at least 400 patients with trauma per year.</w:t>
      </w:r>
    </w:p>
    <w:p>
      <w:pPr>
        <w:pStyle w:val="BodyText"/>
      </w:pPr>
      <w:r>
        <w:rPr>
          <w:iCs/>
          <w:i/>
        </w:rPr>
        <w:t xml:space="preserve">Clusters</w:t>
      </w:r>
      <w:r>
        <w:t xml:space="preserve"> </w:t>
      </w:r>
      <w:r>
        <w:t xml:space="preserve">are one or more units of physicians providing initial trauma care in the emergency department of tertiary hospitals in India.</w:t>
      </w:r>
    </w:p>
    <w:p>
      <w:pPr>
        <w:pStyle w:val="BodyText"/>
      </w:pPr>
      <w:r>
        <w:rPr>
          <w:iCs/>
          <w:i/>
        </w:rPr>
        <w:t xml:space="preserve">Patients participants</w:t>
      </w:r>
      <w:r>
        <w:t xml:space="preserve"> </w:t>
      </w:r>
      <w:r>
        <w:t xml:space="preserve">are adult trauma patients who present to the emergency department of participating hospitals and are admitted or transferred for admission.</w:t>
      </w:r>
    </w:p>
    <w:p>
      <w:pPr>
        <w:pStyle w:val="BodyText"/>
      </w:pPr>
      <w:r>
        <w:rPr>
          <w:bCs/>
          <w:b/>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Cs/>
          <w:b/>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Cs/>
          <w:b/>
        </w:rPr>
        <w:t xml:space="preserve">Trial Period</w:t>
      </w:r>
      <w:r>
        <w:t xml:space="preserve"> </w:t>
      </w:r>
      <w:r>
        <w:t xml:space="preserve">February 2025, to October 2029</w:t>
      </w:r>
    </w:p>
    <w:p>
      <w:r>
        <w:br w:type="page"/>
      </w:r>
    </w:p>
    <w:bookmarkEnd w:id="41"/>
    <w:bookmarkStart w:id="44"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bookmarkEnd w:id="42"/>
    <w:bookmarkStart w:id="43" w:name="potential-amendments"/>
    <w:p>
      <w:pPr>
        <w:pStyle w:val="Heading2"/>
      </w:pPr>
      <w:r>
        <w:t xml:space="preserve">3.2 Potential amendments</w:t>
      </w:r>
    </w:p>
    <w:p>
      <w:pPr>
        <w:pStyle w:val="FirstParagraph"/>
      </w:pPr>
      <w:r>
        <w:t xml:space="preserve">There are ongoing discussions about re-framing the trial as a hybrid effectiveness-implementation trial and include a cost-effectiveness analysis. This would involve adding additional data collection to assess the implementation and costs of the intervention. This would involve additional funding and amended ethical approvals.</w:t>
      </w:r>
    </w:p>
    <w:p>
      <w:r>
        <w:br w:type="page"/>
      </w:r>
    </w:p>
    <w:bookmarkEnd w:id="43"/>
    <w:bookmarkEnd w:id="44"/>
    <w:bookmarkStart w:id="45" w:name="statistical-analysis"/>
    <w:p>
      <w:pPr>
        <w:pStyle w:val="Heading1"/>
      </w:pPr>
      <w:r>
        <w:t xml:space="preserve">4. Statistical analysis</w:t>
      </w:r>
    </w:p>
    <w:bookmarkEnd w:id="45"/>
    <w:bookmarkStart w:id="117" w:name="aim-and-objectives"/>
    <w:p>
      <w:pPr>
        <w:pStyle w:val="Heading1"/>
      </w:pPr>
      <w:r>
        <w:t xml:space="preserve">5. Aim and objectives</w:t>
      </w:r>
    </w:p>
    <w:bookmarkStart w:id="46" w:name="aim"/>
    <w:p>
      <w:pPr>
        <w:pStyle w:val="Heading2"/>
      </w:pPr>
      <w:r>
        <w:t xml:space="preserve">5.1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6"/>
    <w:bookmarkStart w:id="47" w:name="objectives"/>
    <w:p>
      <w:pPr>
        <w:pStyle w:val="Heading2"/>
      </w:pPr>
      <w:r>
        <w:t xml:space="preserve">5.2 Objectives</w:t>
      </w:r>
    </w:p>
    <w:p>
      <w:pPr>
        <w:numPr>
          <w:ilvl w:val="0"/>
          <w:numId w:val="1002"/>
        </w:numPr>
        <w:pStyle w:val="Compact"/>
      </w:pPr>
      <w:r>
        <w:t xml:space="preserve">To estimate the effects of ATLS</w:t>
      </w:r>
      <w:r>
        <w:rPr>
          <w:vertAlign w:val="superscript"/>
        </w:rPr>
        <w:t xml:space="preserve">®</w:t>
      </w:r>
      <w:r>
        <w:t xml:space="preserve"> </w:t>
      </w:r>
      <w:r>
        <w:t xml:space="preserve">training on 30-day in-hospital mortality compared to standard care.</w:t>
      </w:r>
    </w:p>
    <w:p>
      <w:pPr>
        <w:numPr>
          <w:ilvl w:val="0"/>
          <w:numId w:val="1002"/>
        </w:numPr>
        <w:pStyle w:val="Compact"/>
      </w:pPr>
      <w:r>
        <w:t xml:space="preserve">To assess the robustness of the main analysis results to different model specifications through sensitivity analyses.</w:t>
      </w:r>
    </w:p>
    <w:p>
      <w:pPr>
        <w:numPr>
          <w:ilvl w:val="0"/>
          <w:numId w:val="1002"/>
        </w:numPr>
        <w:pStyle w:val="Compact"/>
      </w:pPr>
      <w:r>
        <w:t xml:space="preserve">To estimate the effects of ATLS</w:t>
      </w:r>
      <w:r>
        <w:rPr>
          <w:vertAlign w:val="superscript"/>
        </w:rPr>
        <w:t xml:space="preserve">®</w:t>
      </w:r>
      <w:r>
        <w:t xml:space="preserve"> </w:t>
      </w:r>
      <w:r>
        <w:t xml:space="preserve">training on secondary outcomes compared to standard care.</w:t>
      </w:r>
    </w:p>
    <w:p>
      <w:pPr>
        <w:numPr>
          <w:ilvl w:val="0"/>
          <w:numId w:val="1002"/>
        </w:numPr>
        <w:pStyle w:val="Compact"/>
      </w:pPr>
      <w:r>
        <w:t xml:space="preserve">To explore the effects of ATLS</w:t>
      </w:r>
      <w:r>
        <w:rPr>
          <w:vertAlign w:val="superscript"/>
        </w:rPr>
        <w:t xml:space="preserve">®</w:t>
      </w:r>
      <w:r>
        <w:t xml:space="preserve"> </w:t>
      </w:r>
      <w:r>
        <w:t xml:space="preserve">training on subgroups of patients compared to standard care.</w:t>
      </w:r>
    </w:p>
    <w:bookmarkEnd w:id="47"/>
    <w:bookmarkStart w:id="56" w:name="design"/>
    <w:p>
      <w:pPr>
        <w:pStyle w:val="Heading2"/>
      </w:pPr>
      <w:r>
        <w:t xml:space="preserve">5.3 Design</w:t>
      </w:r>
    </w:p>
    <w:p>
      <w:pPr>
        <w:pStyle w:val="FirstParagraph"/>
      </w:pPr>
      <w:r>
        <w:t xml:space="preserve">This is a batched stepped-wedge cluster randomised trial, including a total of 30 (see</w:t>
      </w:r>
      <w:r>
        <w:t xml:space="preserve"> </w:t>
      </w:r>
      <w:hyperlink w:anchor="fig-trial-design">
        <w:r>
          <w:rPr>
            <w:rStyle w:val="Hyperlink"/>
          </w:rPr>
          <w:t xml:space="preserve">Figure 1</w:t>
        </w:r>
      </w:hyperlink>
      <w:r>
        <w:t xml:space="preserve">). The trial will be composed of 6 batches of identical 12-period 5-sequence design,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p>
      <w:pPr>
        <w:pStyle w:val="SourceCode"/>
      </w:pPr>
      <w:r>
        <w:rPr>
          <w:rStyle w:val="VerbatimChar"/>
        </w:rPr>
        <w:t xml:space="preserve">Warning: The `trans` argument of `sec_axis()` is deprecated as of ggplot2 3.5.0.</w:t>
      </w:r>
      <w:r>
        <w:br/>
      </w:r>
      <w:r>
        <w:rPr>
          <w:rStyle w:val="VerbatimChar"/>
        </w:rPr>
        <w:t xml:space="preserve">ℹ Please use the `transform` argument instead.</w:t>
      </w:r>
    </w:p>
    <w:tbl>
      <w:tblPr>
        <w:tblStyle w:val="Table"/>
        <w:tblW w:type="pct" w:w="5000"/>
        <w:tblLook w:firstRow="0" w:lastRow="0" w:firstColumn="0" w:lastColumn="0" w:noHBand="0" w:noVBand="0" w:val="0000"/>
        <w:jc w:val="start"/>
      </w:tblPr>
      <w:tblGrid>
        <w:gridCol w:w="7920"/>
      </w:tblGrid>
      <w:tr>
        <w:tc>
          <w:tcPr/>
          <w:bookmarkStart w:id="51" w:name="fig-trial-design"/>
          <w:p>
            <w:pPr>
              <w:jc w:val="center"/>
            </w:pPr>
            <w:r>
              <w:drawing>
                <wp:inline>
                  <wp:extent cx="5334000" cy="3198592"/>
                  <wp:effectExtent b="0" l="0" r="0" t="0"/>
                  <wp:docPr descr="" title="" id="49" name="Picture"/>
                  <a:graphic>
                    <a:graphicData uri="http://schemas.openxmlformats.org/drawingml/2006/picture">
                      <pic:pic>
                        <pic:nvPicPr>
                          <pic:cNvPr descr="trial-design-figure-30-clusters-5-sequences-6-batches-6-batches-overlap-4-min-standard-care-4-min-intervention-1-transition-months-0-transition-overlap.0-staircase-months.png" id="50" name="Picture"/>
                          <pic:cNvPicPr>
                            <a:picLocks noChangeArrowheads="1" noChangeAspect="1"/>
                          </pic:cNvPicPr>
                        </pic:nvPicPr>
                        <pic:blipFill>
                          <a:blip r:embed="rId48"/>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1"/>
        </w:tc>
      </w:tr>
    </w:tbl>
    <w:p>
      <w:pPr>
        <w:pStyle w:val="BodyText"/>
      </w:pPr>
      <w:r>
        <w:t xml:space="preserve">Within the main stepped-wedge design, we will nest a staircase design to measure a range of secondary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ook w:firstRow="0" w:lastRow="0" w:firstColumn="0" w:lastColumn="0" w:noHBand="0" w:noVBand="0" w:val="0000"/>
        <w:jc w:val="start"/>
      </w:tblPr>
      <w:tblGrid>
        <w:gridCol w:w="7920"/>
      </w:tblGrid>
      <w:tr>
        <w:tc>
          <w:tcPr/>
          <w:bookmarkStart w:id="55" w:name="fig-nested-staircase-design"/>
          <w:p>
            <w:pPr>
              <w:jc w:val="center"/>
            </w:pPr>
            <w:r>
              <w:drawing>
                <wp:inline>
                  <wp:extent cx="5334000" cy="3198592"/>
                  <wp:effectExtent b="0" l="0" r="0" t="0"/>
                  <wp:docPr descr="" title="" id="53" name="Picture"/>
                  <a:graphic>
                    <a:graphicData uri="http://schemas.openxmlformats.org/drawingml/2006/picture">
                      <pic:pic>
                        <pic:nvPicPr>
                          <pic:cNvPr descr="trial-design-figure-30-clusters-5-sequences-6-batches-6-batches-overlap-4-min-standard-care-4-min-intervention-1-transition-months-0-transition-overlap.3-staircase-months.png" id="54" name="Picture"/>
                          <pic:cNvPicPr>
                            <a:picLocks noChangeArrowheads="1" noChangeAspect="1"/>
                          </pic:cNvPicPr>
                        </pic:nvPicPr>
                        <pic:blipFill>
                          <a:blip r:embed="rId52"/>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5"/>
        </w:tc>
      </w:tr>
    </w:tbl>
    <w:bookmarkEnd w:id="56"/>
    <w:bookmarkStart w:id="58" w:name="randomisation-of-clusters"/>
    <w:p>
      <w:pPr>
        <w:pStyle w:val="Heading2"/>
      </w:pPr>
      <w:r>
        <w:t xml:space="preserve">5.4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alloted to each batch to the different intervention implementation sequences within that batch</w:t>
      </w:r>
      <w:r>
        <w:rPr>
          <w:rStyle w:val="FootnoteReference"/>
        </w:rPr>
        <w:footnoteReference w:id="57"/>
      </w:r>
      <w:r>
        <w:t xml:space="preserve">.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bookmarkEnd w:id="58"/>
    <w:bookmarkStart w:id="63" w:name="outcomes"/>
    <w:p>
      <w:pPr>
        <w:pStyle w:val="Heading2"/>
      </w:pPr>
      <w:r>
        <w:t xml:space="preserve">5.5 Outcomes</w:t>
      </w:r>
    </w:p>
    <w:bookmarkStart w:id="59" w:name="primary-outcome"/>
    <w:p>
      <w:pPr>
        <w:pStyle w:val="Heading3"/>
      </w:pPr>
      <w:r>
        <w:t xml:space="preserve">5.5.1 Primary outcome</w:t>
      </w:r>
    </w:p>
    <w:p>
      <w:pPr>
        <w:pStyle w:val="FirstParagraph"/>
      </w:pPr>
      <w:r>
        <w:t xml:space="preserve">The primary outcome will be in-hospital mortality within 30 days of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9"/>
    <w:bookmarkStart w:id="62" w:name="secondary-outcomes"/>
    <w:p>
      <w:pPr>
        <w:pStyle w:val="Heading3"/>
      </w:pPr>
      <w:r>
        <w:t xml:space="preserve">5.5.2 Secondary outcomes</w:t>
      </w:r>
    </w:p>
    <w:bookmarkStart w:id="60" w:name="Xdb0e69ac2f6fc09a45efb162c3cc667f9413bd2"/>
    <w:p>
      <w:pPr>
        <w:pStyle w:val="Heading4"/>
      </w:pPr>
      <w:r>
        <w:t xml:space="preserve">Collected using the main stepped-wedge design</w:t>
      </w:r>
    </w:p>
    <w:p>
      <w:pPr>
        <w:numPr>
          <w:ilvl w:val="0"/>
          <w:numId w:val="1003"/>
        </w:numPr>
        <w:pStyle w:val="Compact"/>
      </w:pPr>
      <w:r>
        <w:t xml:space="preserve">All cause mortality within 24 hours, 30 days and three months of arrival at the emergency department. Data on this outcome will be collected in the same way as for the primary outcome.</w:t>
      </w:r>
    </w:p>
    <w:p>
      <w:pPr>
        <w:numPr>
          <w:ilvl w:val="0"/>
          <w:numId w:val="1003"/>
        </w:numPr>
        <w:pStyle w:val="Compact"/>
      </w:pPr>
      <w:r>
        <w:t xml:space="preserve">Length of emergency department stay. Data on this outcome will be collected from patient hospital records.</w:t>
      </w:r>
    </w:p>
    <w:p>
      <w:pPr>
        <w:numPr>
          <w:ilvl w:val="0"/>
          <w:numId w:val="1003"/>
        </w:numPr>
        <w:pStyle w:val="Compact"/>
      </w:pPr>
      <w:r>
        <w:t xml:space="preserve">Length of hospital stay. Data on this outcome will be collected from patient hospital records.</w:t>
      </w:r>
    </w:p>
    <w:p>
      <w:pPr>
        <w:numPr>
          <w:ilvl w:val="0"/>
          <w:numId w:val="1003"/>
        </w:numPr>
        <w:pStyle w:val="Compact"/>
      </w:pPr>
      <w:r>
        <w:t xml:space="preserve">Intensive care unit admission. Data on this outcome will be collected from patient hospital records.</w:t>
      </w:r>
    </w:p>
    <w:p>
      <w:pPr>
        <w:numPr>
          <w:ilvl w:val="0"/>
          <w:numId w:val="1003"/>
        </w:numPr>
        <w:pStyle w:val="Compact"/>
      </w:pPr>
      <w:r>
        <w:t xml:space="preserve">Length of intensive care unit stay. Data on this outcome will be collected from patient hospital records.</w:t>
      </w:r>
    </w:p>
    <w:p>
      <w:pPr>
        <w:numPr>
          <w:ilvl w:val="0"/>
          <w:numId w:val="1003"/>
        </w:numPr>
        <w:pStyle w:val="Compact"/>
      </w:pPr>
      <w:r>
        <w:t xml:space="preserve">Return to work at 30 days and three months after arrival at the emergency department. Data on this outcome will be collected in person if the patient is still in hospital, or by phone if the patient has been discharged.</w:t>
      </w:r>
    </w:p>
    <w:bookmarkEnd w:id="60"/>
    <w:bookmarkStart w:id="61" w:name="Xac098b8b976789377f406b0c926b7e67113ef4f"/>
    <w:p>
      <w:pPr>
        <w:pStyle w:val="Heading4"/>
      </w:pPr>
      <w:r>
        <w:t xml:space="preserve">Collected using the nested staircase design</w:t>
      </w:r>
    </w:p>
    <w:p>
      <w:pPr>
        <w:numPr>
          <w:ilvl w:val="0"/>
          <w:numId w:val="1004"/>
        </w:numPr>
        <w:pStyle w:val="Compact"/>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numPr>
          <w:ilvl w:val="0"/>
          <w:numId w:val="1004"/>
        </w:numPr>
        <w:pStyle w:val="Compact"/>
      </w:pPr>
      <w:r>
        <w:t xml:space="preserve">Quality of life within seven days of discharge, and at 30 days and three months of arrival at the emergency department, measured by the official and validated translations of the EQ5D3L. Data on this outcome will be collected in person if the patient is still in hospital, or by phone if the patient has been discharged. We will collect this data using a nested staircase design.</w:t>
      </w:r>
    </w:p>
    <w:p>
      <w:pPr>
        <w:numPr>
          <w:ilvl w:val="0"/>
          <w:numId w:val="1004"/>
        </w:numPr>
        <w:pStyle w:val="Compact"/>
      </w:pPr>
      <w:r>
        <w:t xml:space="preserve">Disability within seven days of discharge, and at 30 days and three months of arrival at the emergency department, assessed using the WHO Disability Assessment Schedule 2.0 (WHODAS 2.0). Data on this outcome will be collected in person if the patient is still in hospital, or by phone if the patient has been discharged. This data will also be collected using a nested staircase design.</w:t>
      </w:r>
    </w:p>
    <w:bookmarkEnd w:id="61"/>
    <w:bookmarkEnd w:id="62"/>
    <w:bookmarkEnd w:id="63"/>
    <w:bookmarkStart w:id="64" w:name="statistical-hypotheses"/>
    <w:p>
      <w:pPr>
        <w:pStyle w:val="Heading2"/>
      </w:pPr>
      <w:r>
        <w:t xml:space="preserve">5.6 Statistical hypotheses</w:t>
      </w:r>
    </w:p>
    <w:p>
      <w:pPr>
        <w:pStyle w:val="FirstParagraph"/>
      </w:pPr>
      <w:r>
        <w:t xml:space="preserve">Our primary statistical hypotheses are:</w:t>
      </w:r>
    </w:p>
    <w:p>
      <w:pPr>
        <w:numPr>
          <w:ilvl w:val="0"/>
          <w:numId w:val="1005"/>
        </w:numPr>
        <w:pStyle w:val="Compact"/>
      </w:pPr>
      <w:r>
        <w:rPr>
          <w:bCs/>
          <w:b/>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numPr>
          <w:ilvl w:val="0"/>
          <w:numId w:val="1005"/>
        </w:numPr>
        <w:pStyle w:val="Compact"/>
      </w:pPr>
      <w:r>
        <w:rPr>
          <w:bCs/>
          <w:b/>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4"/>
    <w:bookmarkStart w:id="71" w:name="sample-size-calculations"/>
    <w:p>
      <w:pPr>
        <w:pStyle w:val="Heading2"/>
      </w:pPr>
      <w:r>
        <w:t xml:space="preserve">5.7 Sample size calculations</w:t>
      </w:r>
    </w:p>
    <w:bookmarkStart w:id="69" w:name="Xba08c803f10f7c8cd9a777b53b902d2761b3046"/>
    <w:p>
      <w:pPr>
        <w:pStyle w:val="Heading4"/>
      </w:pPr>
      <w:r>
        <w:t xml:space="preserve">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 4</w:t>
      </w:r>
      <w:r>
        <w:t xml:space="preserve">. This effect is a conservative estimate and the reduction equals a risk ratio of 0.75, which would be clinically important while also being consistent with our pilot study and updated systematic review.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5–8</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ook w:firstRow="0" w:lastRow="0" w:firstColumn="0" w:lastColumn="0" w:noHBand="0" w:noVBand="0" w:val="0000"/>
        <w:jc w:val="start"/>
      </w:tblPr>
      <w:tblGrid>
        <w:gridCol w:w="7920"/>
      </w:tblGrid>
      <w:tr>
        <w:tc>
          <w:tcPr/>
          <w:bookmarkStart w:id="68" w:name="fig-power-curves"/>
          <w:p>
            <w:pPr>
              <w:jc w:val="center"/>
            </w:pPr>
            <w:r>
              <w:drawing>
                <wp:inline>
                  <wp:extent cx="5334000" cy="2369551"/>
                  <wp:effectExtent b="0" l="0" r="0" t="0"/>
                  <wp:docPr descr="" title="" id="66" name="Picture"/>
                  <a:graphic>
                    <a:graphicData uri="http://schemas.openxmlformats.org/drawingml/2006/picture">
                      <pic:pic>
                        <pic:nvPicPr>
                          <pic:cNvPr descr="./combined-power-curves.png" id="67" name="Picture"/>
                          <pic:cNvPicPr>
                            <a:picLocks noChangeArrowheads="1" noChangeAspect="1"/>
                          </pic:cNvPicPr>
                        </pic:nvPicPr>
                        <pic:blipFill>
                          <a:blip r:embed="rId65"/>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Power curves for different combinations of cluster autocorrelations (CAC) and intra-cluster correlations (ICC).</w:t>
            </w:r>
            <w:r>
              <w:t xml:space="preserve"> </w:t>
            </w:r>
            <w:r>
              <w:rPr>
                <w:bCs/>
                <w:b/>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Cs/>
                <w:b/>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8"/>
        </w:tc>
      </w:tr>
    </w:tbl>
    <w:bookmarkEnd w:id="69"/>
    <w:bookmarkStart w:id="70" w:name="X37fc7b5fe6b5980542d53d3e88dadde59566406"/>
    <w:p>
      <w:pPr>
        <w:pStyle w:val="Heading4"/>
      </w:pPr>
      <w:r>
        <w:t xml:space="preserve">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bCs/>
          <w:b/>
          <w:vertAlign w:val="superscript"/>
        </w:rPr>
        <w:t xml:space="preserve">lashoher_implementation_2017?</w:t>
      </w:r>
      <w:r>
        <w:t xml:space="preserve">, an increase in EQ5D5L health status from 70 during care to 75 after training</w:t>
      </w:r>
      <w:r>
        <w:rPr>
          <w:bCs/>
          <w:b/>
          <w:vertAlign w:val="superscript"/>
        </w:rPr>
        <w:t xml:space="preserve">kapitan_effect_2024?</w:t>
      </w:r>
      <w:r>
        <w:t xml:space="preserve">, and finally a decrease in disability from a baseline value of 25 during standard care to 22.5 after training</w:t>
      </w:r>
      <w:r>
        <w:rPr>
          <w:bCs/>
          <w:b/>
          <w:vertAlign w:val="superscript"/>
        </w:rPr>
        <w:t xml:space="preserve">higgins_psychometric_2021?</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an these effects by including four patients in each cluster in each period. Accounting for loss to follow-up, we will include at least six patients per cluster per month. These patients will be a random subset of patients included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0"/>
    <w:bookmarkEnd w:id="71"/>
    <w:bookmarkStart w:id="74" w:name="statistical-principles"/>
    <w:p>
      <w:pPr>
        <w:pStyle w:val="Heading2"/>
      </w:pPr>
      <w:r>
        <w:t xml:space="preserve">5.8 Statistical principles</w:t>
      </w:r>
    </w:p>
    <w:bookmarkStart w:id="72" w:name="statistical-software"/>
    <w:p>
      <w:pPr>
        <w:pStyle w:val="Heading3"/>
      </w:pPr>
      <w:r>
        <w:t xml:space="preserve">5.8.1 Statistical software</w:t>
      </w:r>
    </w:p>
    <w:p>
      <w:pPr>
        <w:pStyle w:val="FirstParagraph"/>
      </w:pPr>
      <w:r>
        <w:t xml:space="preserve">We will use the R Statistical Software for all analyses</w:t>
      </w:r>
      <w:r>
        <w:rPr>
          <w:vertAlign w:val="superscript"/>
        </w:rPr>
        <w:t xml:space="preserve">9</w:t>
      </w:r>
      <w:r>
        <w:t xml:space="preserve">.</w:t>
      </w:r>
    </w:p>
    <w:bookmarkEnd w:id="72"/>
    <w:bookmarkStart w:id="73" w:name="Xb3701c3e4f516f3436ab2f14fbfd68958c11744"/>
    <w:p>
      <w:pPr>
        <w:pStyle w:val="Heading3"/>
      </w:pPr>
      <w:r>
        <w:t xml:space="preserve">5.8.2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3"/>
    <w:bookmarkEnd w:id="74"/>
    <w:bookmarkStart w:id="75" w:name="analysis-populations"/>
    <w:p>
      <w:pPr>
        <w:pStyle w:val="Heading2"/>
      </w:pPr>
      <w:r>
        <w:t xml:space="preserve">5.9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10</w:t>
      </w:r>
      <w:r>
        <w:t xml:space="preserve">.</w:t>
      </w:r>
    </w:p>
    <w:bookmarkEnd w:id="75"/>
    <w:bookmarkStart w:id="78" w:name="baseline-analyses"/>
    <w:p>
      <w:pPr>
        <w:pStyle w:val="Heading2"/>
      </w:pPr>
      <w:r>
        <w:t xml:space="preserve">5.10 Baseline analyses</w:t>
      </w:r>
    </w:p>
    <w:bookmarkStart w:id="76" w:name="cluster-characteristics"/>
    <w:p>
      <w:pPr>
        <w:pStyle w:val="Heading3"/>
      </w:pPr>
      <w:r>
        <w:t xml:space="preserve">5.10.1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6"/>
    <w:bookmarkStart w:id="77" w:name="patient-characteristics"/>
    <w:p>
      <w:pPr>
        <w:pStyle w:val="Heading3"/>
      </w:pPr>
      <w:r>
        <w:t xml:space="preserve">5.10.2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7"/>
    <w:bookmarkEnd w:id="78"/>
    <w:bookmarkStart w:id="79" w:name="interim-analysis"/>
    <w:p>
      <w:pPr>
        <w:pStyle w:val="Heading2"/>
      </w:pPr>
      <w:r>
        <w:t xml:space="preserve">5.11 Interim analysis</w:t>
      </w:r>
    </w:p>
    <w:p>
      <w:pPr>
        <w:pStyle w:val="FirstParagraph"/>
      </w:pPr>
      <w:r>
        <w:t xml:space="preserve">There will be one interim analyses after half of the batches have completed the trial. The interim analyses will be assessed by the joint Trial Steering and Data Monitoring Committee. The interim analysis will include the baseline analyses including the frequencies and proportions of the primary outcome in the intervention and control arms. We will not perform any formal hypothesis testing as part of our planned interim analyses.</w:t>
      </w:r>
    </w:p>
    <w:bookmarkEnd w:id="79"/>
    <w:bookmarkStart w:id="103" w:name="analysis-of-the-primary-outcome"/>
    <w:p>
      <w:pPr>
        <w:pStyle w:val="Heading2"/>
      </w:pPr>
      <w:r>
        <w:t xml:space="preserve">5.12 Analysis of the primary outcome</w:t>
      </w:r>
    </w:p>
    <w:p>
      <w:pPr>
        <w:pStyle w:val="FirstParagraph"/>
      </w:pPr>
      <w:r>
        <w:t xml:space="preserve">The primary outcomes is in-hospital mortality within 30 days of arrival at the emergency department and will be analysed as a dichotomous variable. We will estimate the primary intervention effect as the OR of death between the ATLS</w:t>
      </w:r>
      <w:r>
        <w:rPr>
          <w:vertAlign w:val="superscript"/>
        </w:rPr>
        <w:t xml:space="preserve">®</w:t>
      </w:r>
      <w:r>
        <w:t xml:space="preserve"> </w:t>
      </w:r>
      <w:r>
        <w:t xml:space="preserve">and standard care arms, with an OR &lt; 1 indicating lower odds of death in the ATLS</w:t>
      </w:r>
      <w:r>
        <w:rPr>
          <w:vertAlign w:val="superscript"/>
        </w:rPr>
        <w:t xml:space="preserve">®</w:t>
      </w:r>
      <w:r>
        <w:t xml:space="preserve"> </w:t>
      </w:r>
      <w:r>
        <w:t xml:space="preserve">arm compared to the standard care arm and vice versa.</w:t>
      </w:r>
    </w:p>
    <w:bookmarkStart w:id="87" w:name="main-analyses"/>
    <w:p>
      <w:pPr>
        <w:pStyle w:val="Heading3"/>
      </w:pPr>
      <w:r>
        <w:t xml:space="preserve">5.12.1 Main analyses</w:t>
      </w:r>
    </w:p>
    <w:bookmarkStart w:id="84" w:name="Xdc460f49967aff9b7dad1a3addeafc33b74ab95"/>
    <w:p>
      <w:pPr>
        <w:pStyle w:val="Heading4"/>
      </w:pPr>
      <w:r>
        <w:t xml:space="preserve">Mixed effects binomial model with logit link</w:t>
      </w:r>
    </w:p>
    <w:p>
      <w:pPr>
        <w:pStyle w:val="FirstParagraph"/>
      </w:pPr>
      <w:r>
        <w:t xml:space="preserve">We will use a mixed effects binomial model with a logit link to estimate the OR. We will include fixed effects for period as a categorical variable and a fixed effect for intervention exposure</w:t>
      </w:r>
      <w:r>
        <w:rPr>
          <w:rStyle w:val="FootnoteReference"/>
        </w:rPr>
        <w:footnoteReference w:id="80"/>
      </w:r>
      <w:r>
        <w:t xml:space="preserve">. The primary analysis will allow for clustering as a random cluster and random cluster by period effect</w:t>
      </w:r>
      <w:r>
        <w:rPr>
          <w:rStyle w:val="FootnoteReference"/>
        </w:rPr>
        <w:footnoteReference w:id="81"/>
      </w:r>
      <w:r>
        <w:t xml:space="preserve">, both assumed to follow a normal distribution. The full model is specified in</w:t>
      </w:r>
      <w:r>
        <w:t xml:space="preserve"> </w:t>
      </w:r>
      <w:hyperlink w:anchor="eq-logit-model">
        <w:r>
          <w:rPr>
            <w:rStyle w:val="Hyperlink"/>
          </w:rPr>
          <w:t xml:space="preserve">Equation 1</w:t>
        </w:r>
      </w:hyperlink>
      <w:r>
        <w:t xml:space="preserve">. To correct the potential inflation of the type I error rate due to small number of clusters, a correction for a small number of clusters will be applied, but the correction that will be selected will be based on the best available evidence available closer to the time, and it may differ for the outcomes collected via the complete and incomplete designs. This model will be fitted using residual pseudo-likelihood estimation based on linearization with subject-specific expansion (RSPL).</w:t>
      </w:r>
    </w:p>
    <w:p>
      <w:pPr>
        <w:pStyle w:val="BodyText"/>
      </w:pPr>
      <w:bookmarkStart w:id="82" w:name="eq-logit-model"/>
      <m:oMathPara>
        <m:oMathParaPr>
          <m:jc m:val="center"/>
        </m:oMathParaPr>
        <m:oMath>
          <m:r>
            <m:rPr>
              <m:nor/>
              <m:sty m:val="p"/>
            </m:rPr>
            <m:t>logit</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m:t>
              </m:r>
            </m:e>
          </m:d>
        </m:oMath>
      </m:oMathPara>
      <w:bookmarkEnd w:id="82"/>
    </w:p>
    <w:p>
      <w:pPr>
        <w:pStyle w:val="FirstParagraph"/>
      </w:pPr>
      <w:r>
        <w:t xml:space="preserve">Where:</w:t>
      </w:r>
    </w:p>
    <w:p>
      <w:pPr>
        <w:numPr>
          <w:ilvl w:val="0"/>
          <w:numId w:val="1006"/>
        </w:numPr>
        <w:pStyle w:val="Compact"/>
      </w:pPr>
      <m:oMath>
        <m:r>
          <m:rPr>
            <m:nor/>
            <m:sty m:val="p"/>
          </m:rPr>
          <m:t>Pr</m:t>
        </m:r>
        <m:d>
          <m:dPr>
            <m:begChr m:val="("/>
            <m:endChr m:val=")"/>
            <m:sep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numPr>
          <w:ilvl w:val="0"/>
          <w:numId w:val="1006"/>
        </w:numPr>
        <w:pStyle w:val="Compact"/>
      </w:pPr>
      <m:oMath>
        <m:r>
          <m:t>μ</m:t>
        </m:r>
      </m:oMath>
      <w:r>
        <w:t xml:space="preserve">: the intercept, representing the baseline log-odds of the outcome when all predictors are set to 1.</w:t>
      </w:r>
    </w:p>
    <w:p>
      <w:pPr>
        <w:numPr>
          <w:ilvl w:val="0"/>
          <w:numId w:val="1006"/>
        </w:numPr>
        <w:pStyle w:val="Compact"/>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so that there is a total of 72 period effects.</w:t>
      </w:r>
      <w:r>
        <w:rPr>
          <w:rStyle w:val="FootnoteReference"/>
        </w:rPr>
        <w:footnoteReference w:id="83"/>
      </w:r>
    </w:p>
    <w:p>
      <w:pPr>
        <w:numPr>
          <w:ilvl w:val="0"/>
          <w:numId w:val="1006"/>
        </w:numPr>
        <w:pStyle w:val="Compact"/>
      </w:pPr>
      <m:oMath>
        <m:r>
          <m:t>θ</m:t>
        </m:r>
      </m:oMath>
      <w:r>
        <w:t xml:space="preserve">: the fixed effect of intervention exposure, representing the effect of ATLS® exposure on the probability of death.</w:t>
      </w:r>
    </w:p>
    <w:p>
      <w:pPr>
        <w:numPr>
          <w:ilvl w:val="0"/>
          <w:numId w:val="1006"/>
        </w:numPr>
        <w:pStyle w:val="Compact"/>
      </w:pPr>
      <m:oMath>
        <m:sSub>
          <m:e>
            <m:r>
              <m:t>X</m:t>
            </m:r>
          </m:e>
          <m:sub>
            <m:r>
              <m:t>b</m:t>
            </m:r>
            <m:r>
              <m:t>k</m:t>
            </m:r>
            <m:r>
              <m:t>t</m:t>
            </m:r>
          </m:sub>
        </m:sSub>
      </m:oMath>
      <w:r>
        <w:t xml:space="preserve">: the treatment arm indicator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w:t>
      </w:r>
      <w:r>
        <w:rPr>
          <w:vertAlign w:val="superscript"/>
        </w:rPr>
        <w:t xml:space="preserve">®</w:t>
      </w:r>
      <w:r>
        <w:t xml:space="preserve"> </w:t>
      </w:r>
      <w:r>
        <w:t xml:space="preserve">and</w:t>
      </w:r>
      <w:r>
        <w:t xml:space="preserve"> </w:t>
      </w:r>
      <m:oMath>
        <m:sSub>
          <m:e>
            <m:r>
              <m:t>X</m:t>
            </m:r>
          </m:e>
          <m:sub>
            <m:r>
              <m:t>b</m:t>
            </m:r>
            <m:r>
              <m:t>k</m:t>
            </m:r>
            <m:r>
              <m:t>t</m:t>
            </m:r>
          </m:sub>
        </m:sSub>
        <m:r>
          <m:rPr>
            <m:sty m:val="p"/>
          </m:rPr>
          <m:t>=</m:t>
        </m:r>
        <m:r>
          <m:t>0</m:t>
        </m:r>
      </m:oMath>
      <w:r>
        <w:t xml:space="preserve"> </w:t>
      </w:r>
      <w:r>
        <w:t xml:space="preserve">for standard care.</w:t>
      </w:r>
    </w:p>
    <w:p>
      <w:pPr>
        <w:numPr>
          <w:ilvl w:val="0"/>
          <w:numId w:val="1006"/>
        </w:numPr>
        <w:pStyle w:val="Compact"/>
      </w:pPr>
      <m:oMath>
        <m:sSub>
          <m:e>
            <m:r>
              <m:t>α</m:t>
            </m:r>
          </m:e>
          <m:sub>
            <m:r>
              <m:t>b</m:t>
            </m:r>
            <m:r>
              <m:t>k</m:t>
            </m:r>
          </m:sub>
        </m:sSub>
      </m:oMath>
      <w:r>
        <w:t xml:space="preserve">: the random effect of cluster</w:t>
      </w:r>
      <w:r>
        <w:t xml:space="preserve"> </w:t>
      </w:r>
      <m:oMath>
        <m:r>
          <m:t>k</m:t>
        </m:r>
      </m:oMath>
      <w:r>
        <w:t xml:space="preserve"> </w:t>
      </w:r>
      <w:r>
        <w:t xml:space="preserve">in batch</w:t>
      </w:r>
      <w:r>
        <w:t xml:space="preserve"> </w:t>
      </w:r>
      <m:oMath>
        <m:r>
          <m:t>b</m:t>
        </m:r>
      </m:oMath>
      <w:r>
        <w:t xml:space="preserve">, representing the variability in outcomes between different clusters (hospitals) across batches.</w:t>
      </w:r>
    </w:p>
    <w:p>
      <w:pPr>
        <w:numPr>
          <w:ilvl w:val="0"/>
          <w:numId w:val="1006"/>
        </w:numPr>
        <w:pStyle w:val="Compact"/>
      </w:pPr>
      <m:oMath>
        <m:sSub>
          <m:e>
            <m:r>
              <m:t>γ</m:t>
            </m:r>
          </m:e>
          <m:sub>
            <m:r>
              <m:t>b</m:t>
            </m:r>
            <m:r>
              <m:t>k</m:t>
            </m:r>
            <m:r>
              <m:t>t</m:t>
            </m:r>
          </m:sub>
        </m:sSub>
      </m:oMath>
      <w:r>
        <w:t xml:space="preserve">: the random effect of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accounting for the random variation within clusters across periods and batches, including potential interaction effects between clusters and time.</w:t>
      </w:r>
    </w:p>
    <w:p>
      <w:pPr>
        <w:pStyle w:val="FirstParagraph"/>
      </w:pPr>
      <w:r>
        <w:t xml:space="preserve">We will present the effect of ATLS</w:t>
      </w:r>
      <w:r>
        <w:rPr>
          <w:vertAlign w:val="superscript"/>
        </w:rPr>
        <w:t xml:space="preserve">®</w:t>
      </w:r>
      <w:r>
        <w:t xml:space="preserve"> </w:t>
      </w:r>
      <w:r>
        <w:t xml:space="preserve">exposure as an odds ratio (OR) for mortality with an associated 95% CI, using the standard care arm as the reference. Additionally, we will present the risk difference with a 95% CI. The randomization within each batch will be balanced based on cluster size, defined as the expected monthly volume of eligible patient participants. Therefore, no further adjustment for cluster size will be made in the main analysis.</w:t>
      </w:r>
    </w:p>
    <w:bookmarkEnd w:id="84"/>
    <w:bookmarkStart w:id="86" w:name="model-with-identify-link"/>
    <w:p>
      <w:pPr>
        <w:pStyle w:val="Heading4"/>
      </w:pPr>
      <w:r>
        <w:t xml:space="preserve">Model with identify link</w:t>
      </w:r>
    </w:p>
    <w:p>
      <w:pPr>
        <w:pStyle w:val="FirstParagraph"/>
      </w:pPr>
      <w:r>
        <w:t xml:space="preserve">We will use an identity link used to estimate the risk difference, meaning that the coefficient will be interpreted as the difference in the probability of death between the ATLS</w:t>
      </w:r>
      <w:r>
        <w:rPr>
          <w:vertAlign w:val="superscript"/>
        </w:rPr>
        <w:t xml:space="preserve">®</w:t>
      </w:r>
      <w:r>
        <w:t xml:space="preserve"> </w:t>
      </w:r>
      <w:r>
        <w:t xml:space="preserve">and standard care arms, as an alternative to the OR. We will present the risk difference with a 95% CI. This model is specified in</w:t>
      </w:r>
      <w:r>
        <w:t xml:space="preserve"> </w:t>
      </w:r>
      <w:hyperlink w:anchor="eq-identity-model">
        <w:r>
          <w:rPr>
            <w:rStyle w:val="Hyperlink"/>
          </w:rPr>
          <w:t xml:space="preserve">Equation 2</w:t>
        </w:r>
      </w:hyperlink>
      <w:r>
        <w:t xml:space="preserve"> </w:t>
      </w:r>
      <w:r>
        <w:t xml:space="preserve">and will also be fitted using RSPL. If the binomial model with the identity link does not converge then only a odds ratio will be reported.</w:t>
      </w:r>
    </w:p>
    <w:p>
      <w:pPr>
        <w:pStyle w:val="BodyText"/>
      </w:pPr>
      <w:bookmarkStart w:id="85" w:name="eq-identity-model"/>
      <m:oMathPara>
        <m:oMathParaPr>
          <m:jc m:val="center"/>
        </m:oMathParaPr>
        <m:oMath>
          <m:r>
            <m:rPr>
              <m:nor/>
              <m:sty m:val="p"/>
            </m:rPr>
            <m:t>Pr</m:t>
          </m:r>
          <m:d>
            <m:dPr>
              <m:begChr m:val="("/>
              <m:endChr m:val=")"/>
              <m:sepChr m:val=""/>
              <m:grow/>
            </m:dPr>
            <m:e>
              <m:sSub>
                <m:e>
                  <m:r>
                    <m:t>Y</m:t>
                  </m:r>
                </m:e>
                <m:sub>
                  <m:r>
                    <m:t>b</m:t>
                  </m:r>
                  <m:r>
                    <m:t>k</m:t>
                  </m:r>
                  <m:r>
                    <m:t>t</m:t>
                  </m:r>
                  <m:r>
                    <m:t>i</m:t>
                  </m:r>
                </m:sub>
              </m:sSub>
              <m:r>
                <m:rPr>
                  <m:sty m:val="p"/>
                </m:rPr>
                <m:t>=</m:t>
              </m:r>
              <m:r>
                <m:t>1</m:t>
              </m:r>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2</m:t>
              </m:r>
            </m:e>
          </m:d>
        </m:oMath>
      </m:oMathPara>
      <w:bookmarkEnd w:id="85"/>
    </w:p>
    <w:p>
      <w:pPr>
        <w:pStyle w:val="FirstParagraph"/>
      </w:pPr>
      <w:r>
        <w:t xml:space="preserve">Where:</w:t>
      </w:r>
    </w:p>
    <w:p>
      <w:pPr>
        <w:numPr>
          <w:ilvl w:val="0"/>
          <w:numId w:val="1007"/>
        </w:numPr>
        <w:pStyle w:val="Compact"/>
      </w:pPr>
      <m:oMath>
        <m:r>
          <m:t>μ</m:t>
        </m:r>
      </m:oMath>
      <w:r>
        <w:t xml:space="preserve">: the intercept, representing the baseline probability of the outcome when all predictors are zero.</w:t>
      </w:r>
    </w:p>
    <w:bookmarkEnd w:id="86"/>
    <w:bookmarkEnd w:id="87"/>
    <w:bookmarkStart w:id="97" w:name="sensitivity-analyses"/>
    <w:p>
      <w:pPr>
        <w:pStyle w:val="Heading3"/>
      </w:pPr>
      <w:r>
        <w:t xml:space="preserve">5.12.2 Sensitivity analyses</w:t>
      </w:r>
    </w:p>
    <w:p>
      <w:pPr>
        <w:pStyle w:val="FirstParagraph"/>
      </w:pPr>
      <w:r>
        <w:t xml:space="preserve">The sensitivity analyses will be conducted to assess the robustness of the main analysis results to different model specifications. We will first model the primary outcome using an identity link function to estimate the risk difference instead of the OR. Henceforth, each additional sensitivity analyses will be operationalised using two separate models, one with the logit link and one with the identity link. We will first explore more complex correlation structures. We will then model time using a spline function. Finally, we will conduct a fully adjusted covariate analysis.</w:t>
      </w:r>
    </w:p>
    <w:bookmarkStart w:id="90" w:name="X34badd1093e9e7c7bfe97980565489a18ac7362"/>
    <w:p>
      <w:pPr>
        <w:pStyle w:val="Heading4"/>
      </w:pPr>
      <w:r>
        <w:t xml:space="preserve">Models with different correlation structure</w:t>
      </w:r>
    </w:p>
    <w:p>
      <w:pPr>
        <w:pStyle w:val="FirstParagraph"/>
      </w:pPr>
      <w:r>
        <w:t xml:space="preserve">We will explore if models with more complicated correlation structures are a better fit to the data. These models are not being used as our primary analysis models as there is limited understanding as to when such models will converge and how to choose between the various different correlation structures which might be plausible. First, we will include a discrete time decay correlation structure including a random cluster effect with auto-regressive structure (AR(1)), described in</w:t>
      </w:r>
      <w:r>
        <w:t xml:space="preserve"> </w:t>
      </w:r>
      <w:hyperlink w:anchor="eq-ar1">
        <w:r>
          <w:rPr>
            <w:rStyle w:val="Hyperlink"/>
          </w:rPr>
          <w:t xml:space="preserve">Equation 3</w:t>
        </w:r>
      </w:hyperlink>
      <w:r>
        <w:t xml:space="preserve">.</w:t>
      </w:r>
    </w:p>
    <w:p>
      <w:pPr>
        <w:pStyle w:val="BodyText"/>
      </w:pPr>
      <w:bookmarkStart w:id="88"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t>N</m:t>
          </m:r>
          <m:d>
            <m:dPr>
              <m:begChr m:val="("/>
              <m:endChr m:val=")"/>
              <m:sepChr m:val=""/>
              <m:grow/>
            </m:dPr>
            <m:e>
              <m:r>
                <m:t>0</m:t>
              </m:r>
              <m:r>
                <m:rPr>
                  <m:sty m:val="p"/>
                </m:rPr>
                <m:t>,</m:t>
              </m:r>
              <m:sSubSup>
                <m:e>
                  <m:r>
                    <m:t>σ</m:t>
                  </m:r>
                </m:e>
                <m:sub>
                  <m:r>
                    <m:t>α</m:t>
                  </m:r>
                </m:sub>
                <m:sup>
                  <m:r>
                    <m:t>2</m:t>
                  </m:r>
                </m:sup>
              </m:sSubSup>
            </m:e>
          </m:d>
          <m:r>
            <m:t>  </m:t>
          </m:r>
          <m:d>
            <m:dPr>
              <m:begChr m:val="("/>
              <m:endChr m:val=")"/>
              <m:sepChr m:val=""/>
              <m:grow/>
            </m:dPr>
            <m:e>
              <m:r>
                <m:t>3</m:t>
              </m:r>
            </m:e>
          </m:d>
        </m:oMath>
      </m:oMathPara>
      <w:bookmarkEnd w:id="88"/>
    </w:p>
    <w:p>
      <w:pPr>
        <w:pStyle w:val="FirstParagraph"/>
      </w:pPr>
      <w:r>
        <w:t xml:space="preserve">Where:</w:t>
      </w:r>
    </w:p>
    <w:p>
      <w:pPr>
        <w:numPr>
          <w:ilvl w:val="0"/>
          <w:numId w:val="1008"/>
        </w:numPr>
        <w:pStyle w:val="Compact"/>
      </w:pPr>
      <m:oMath>
        <m:r>
          <m:t>ρ</m:t>
        </m:r>
      </m:oMath>
      <w:r>
        <w:t xml:space="preserve">: the correlation between the random effects of two consecutive periods, the period</w:t>
      </w:r>
      <w:r>
        <w:t xml:space="preserve"> </w:t>
      </w:r>
      <m:oMath>
        <m:r>
          <m:t>t</m:t>
        </m:r>
      </m:oMath>
      <w:r>
        <w:t xml:space="preserve"> </w:t>
      </w:r>
      <w:r>
        <w:t xml:space="preserve">and the period</w:t>
      </w:r>
      <w:r>
        <w:t xml:space="preserve"> </w:t>
      </w:r>
      <m:oMath>
        <m:r>
          <m:t>t</m:t>
        </m:r>
        <m:r>
          <m:rPr>
            <m:sty m:val="p"/>
          </m:rPr>
          <m:t>−</m:t>
        </m:r>
        <m:r>
          <m:t>1</m:t>
        </m:r>
      </m:oMath>
      <w:r>
        <w:t xml:space="preserve">, reflecting how outcomes in one period are correlated with outcomes in the previous period within the same cluster.</w:t>
      </w:r>
    </w:p>
    <w:p>
      <w:pPr>
        <w:numPr>
          <w:ilvl w:val="0"/>
          <w:numId w:val="1008"/>
        </w:numPr>
        <w:pStyle w:val="Compact"/>
      </w:pPr>
      <m:oMath>
        <m:sSub>
          <m:e>
            <m:r>
              <m:t>α</m:t>
            </m:r>
          </m:e>
          <m:sub>
            <m:r>
              <m:t>b</m:t>
            </m:r>
            <m:r>
              <m:t>k</m:t>
            </m:r>
            <m:r>
              <m:rPr>
                <m:sty m:val="p"/>
              </m:rPr>
              <m:t>,</m:t>
            </m:r>
            <m:r>
              <m:t>t</m:t>
            </m:r>
          </m:sub>
        </m:sSub>
      </m:oMath>
      <w:r>
        <w:t xml:space="preserve">: the random effect of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This represents the variation in the outcome that is specific to each cluster and period, accounting for time-related effects.</w:t>
      </w:r>
    </w:p>
    <w:p>
      <w:pPr>
        <w:numPr>
          <w:ilvl w:val="0"/>
          <w:numId w:val="1008"/>
        </w:numPr>
        <w:pStyle w:val="Compact"/>
      </w:pPr>
      <m:oMath>
        <m:sSub>
          <m:e>
            <m:r>
              <m:t>ϵ</m:t>
            </m:r>
          </m:e>
          <m:sub>
            <m:r>
              <m:t>t</m:t>
            </m:r>
          </m:sub>
        </m:sSub>
      </m:oMath>
      <w:r>
        <w:t xml:space="preserve"> </w:t>
      </w:r>
      <w:r>
        <w:t xml:space="preserve">is the error term for period</w:t>
      </w:r>
      <w:r>
        <w:t xml:space="preserve"> </w:t>
      </w:r>
      <m:oMath>
        <m:r>
          <m:t>t</m:t>
        </m:r>
      </m:oMath>
      <w:r>
        <w:t xml:space="preserve">, which is assumed to be normally distributed with mean 0 and variance</w:t>
      </w:r>
      <w:r>
        <w:t xml:space="preserve"> </w:t>
      </w:r>
      <m:oMath>
        <m:sSubSup>
          <m:e>
            <m:r>
              <m:t>σ</m:t>
            </m:r>
          </m:e>
          <m:sub>
            <m:r>
              <m:t>α</m:t>
            </m:r>
          </m:sub>
          <m:sup>
            <m:r>
              <m:t>2</m:t>
            </m:r>
          </m:sup>
        </m:sSubSup>
      </m:oMath>
      <w:r>
        <w:t xml:space="preserve">.</w:t>
      </w:r>
    </w:p>
    <w:p>
      <w:pPr>
        <w:pStyle w:val="FirstParagraph"/>
      </w:pPr>
      <w:r>
        <w:t xml:space="preserve">To allow for the randomisation by batches, we will also include a different secular trend for each batch as a random effect interaction term between batch and period. The full model is specified in</w:t>
      </w:r>
      <w:r>
        <w:t xml:space="preserve"> </w:t>
      </w:r>
      <w:hyperlink w:anchor="eq-logit-ar1">
        <w:r>
          <w:rPr>
            <w:rStyle w:val="Hyperlink"/>
          </w:rPr>
          <w:t xml:space="preserve">Equation 4</w:t>
        </w:r>
      </w:hyperlink>
      <w:r>
        <w:t xml:space="preserve">.</w:t>
      </w:r>
    </w:p>
    <w:p>
      <w:pPr>
        <w:pStyle w:val="BodyText"/>
      </w:pPr>
      <w:bookmarkStart w:id="89" w:name="eq-logit-ar1"/>
      <m:oMathPara>
        <m:oMathParaPr>
          <m:jc m:val="center"/>
        </m:oMathParaPr>
        <m:oMath>
          <m:r>
            <m:t>g</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r>
                <m:rPr>
                  <m:sty m:val="p"/>
                </m:rPr>
                <m:t>,</m:t>
              </m:r>
              <m:r>
                <m:t>t</m:t>
              </m:r>
            </m:sub>
          </m:sSub>
          <m:r>
            <m:rPr>
              <m:sty m:val="p"/>
            </m:rPr>
            <m:t>+</m:t>
          </m:r>
          <m:sSub>
            <m:e>
              <m:r>
                <m:t>γ</m:t>
              </m:r>
            </m:e>
            <m:sub>
              <m:r>
                <m:t>b</m:t>
              </m:r>
              <m:r>
                <m:t>k</m:t>
              </m:r>
              <m:r>
                <m:t>t</m:t>
              </m:r>
            </m:sub>
          </m:sSub>
          <m:r>
            <m:rPr>
              <m:sty m:val="p"/>
            </m:rPr>
            <m:t>+</m:t>
          </m:r>
          <m:sSub>
            <m:e>
              <m:r>
                <m:t>δ</m:t>
              </m:r>
            </m:e>
            <m:sub>
              <m:r>
                <m:t>b</m:t>
              </m:r>
              <m:r>
                <m:t>t</m:t>
              </m:r>
            </m:sub>
          </m:sSub>
          <m:r>
            <m:t>  </m:t>
          </m:r>
          <m:d>
            <m:dPr>
              <m:begChr m:val="("/>
              <m:endChr m:val=")"/>
              <m:sepChr m:val=""/>
              <m:grow/>
            </m:dPr>
            <m:e>
              <m:r>
                <m:t>4</m:t>
              </m:r>
            </m:e>
          </m:d>
        </m:oMath>
      </m:oMathPara>
      <w:bookmarkEnd w:id="89"/>
    </w:p>
    <w:p>
      <w:pPr>
        <w:pStyle w:val="FirstParagraph"/>
      </w:pPr>
      <w:r>
        <w:t xml:space="preserve">Where:</w:t>
      </w:r>
    </w:p>
    <w:p>
      <w:pPr>
        <w:numPr>
          <w:ilvl w:val="0"/>
          <w:numId w:val="1009"/>
        </w:numPr>
        <w:pStyle w:val="Compact"/>
      </w:pPr>
      <m:oMath>
        <m:r>
          <m:t>g</m:t>
        </m:r>
        <m:d>
          <m:dPr>
            <m:begChr m:val="("/>
            <m:endChr m:val=")"/>
            <m:sepChr m:val=""/>
            <m:grow/>
          </m:dPr>
          <m:e>
            <m:r>
              <m:rPr>
                <m:sty m:val="p"/>
              </m:rPr>
              <m:t>⋅</m:t>
            </m:r>
          </m:e>
        </m:d>
      </m:oMath>
      <w:r>
        <w:t xml:space="preserve">: the link function.</w:t>
      </w:r>
    </w:p>
    <w:p>
      <w:pPr>
        <w:numPr>
          <w:ilvl w:val="0"/>
          <w:numId w:val="1009"/>
        </w:numPr>
        <w:pStyle w:val="Compact"/>
      </w:pPr>
      <m:oMath>
        <m:sSub>
          <m:e>
            <m:r>
              <m:t>α</m:t>
            </m:r>
          </m:e>
          <m:sub>
            <m:r>
              <m:t>b</m:t>
            </m:r>
            <m:r>
              <m:t>k</m:t>
            </m:r>
            <m:r>
              <m:rPr>
                <m:sty m:val="p"/>
              </m:rPr>
              <m:t>,</m:t>
            </m:r>
            <m:r>
              <m:t>t</m:t>
            </m:r>
          </m:sub>
        </m:sSub>
      </m:oMath>
      <w:r>
        <w:t xml:space="preserve">: the updated random effect of cluster</w:t>
      </w:r>
      <w:r>
        <w:t xml:space="preserve"> </w:t>
      </w:r>
      <m:oMath>
        <m:r>
          <m:t>k</m:t>
        </m:r>
      </m:oMath>
      <w:r>
        <w:t xml:space="preserve"> </w:t>
      </w:r>
      <w:r>
        <w:t xml:space="preserve">in batch</w:t>
      </w:r>
      <w:r>
        <w:t xml:space="preserve"> </w:t>
      </w:r>
      <m:oMath>
        <m:r>
          <m:t>b</m:t>
        </m:r>
      </m:oMath>
      <w:r>
        <w:t xml:space="preserve"> </w:t>
      </w:r>
      <w:r>
        <w:t xml:space="preserve">during period</w:t>
      </w:r>
      <w:r>
        <w:t xml:space="preserve"> </w:t>
      </w:r>
      <m:oMath>
        <m:r>
          <m:t>t</m:t>
        </m:r>
      </m:oMath>
      <w:r>
        <w:t xml:space="preserve"> </w:t>
      </w:r>
      <w:r>
        <w:t xml:space="preserve">with the AR(1) correlation structure. This accounts for correlation between adjacent periods in the same cluster.</w:t>
      </w:r>
    </w:p>
    <w:p>
      <w:pPr>
        <w:numPr>
          <w:ilvl w:val="0"/>
          <w:numId w:val="1009"/>
        </w:numPr>
        <w:pStyle w:val="Compact"/>
      </w:pPr>
      <m:oMath>
        <m:sSub>
          <m:e>
            <m:r>
              <m:t>δ</m:t>
            </m:r>
          </m:e>
          <m:sub>
            <m:r>
              <m:t>b</m:t>
            </m:r>
            <m:r>
              <m:t>t</m:t>
            </m:r>
          </m:sub>
        </m:sSub>
      </m:oMath>
      <w:r>
        <w:t xml:space="preserve">: the random effect of batch</w:t>
      </w:r>
      <w:r>
        <w:t xml:space="preserve"> </w:t>
      </w:r>
      <m:oMath>
        <m:r>
          <m:t>b</m:t>
        </m:r>
      </m:oMath>
      <w:r>
        <w:t xml:space="preserve"> </w:t>
      </w:r>
      <w:r>
        <w:t xml:space="preserve">during period</w:t>
      </w:r>
      <w:r>
        <w:t xml:space="preserve"> </w:t>
      </w:r>
      <m:oMath>
        <m:r>
          <m:t>t</m:t>
        </m:r>
      </m:oMath>
      <w:r>
        <w:t xml:space="preserve">, which captures any variability across different batches over time.</w:t>
      </w:r>
    </w:p>
    <w:bookmarkEnd w:id="90"/>
    <w:bookmarkStart w:id="92" w:name="X831bc7e780a434f5c3512e5d33d43284b7d37ce"/>
    <w:p>
      <w:pPr>
        <w:pStyle w:val="Heading4"/>
      </w:pPr>
      <w:r>
        <w:t xml:space="preserve">Models with random cluster by intervention effects</w:t>
      </w:r>
    </w:p>
    <w:p>
      <w:pPr>
        <w:pStyle w:val="FirstParagraph"/>
      </w:pPr>
      <w:r>
        <w:t xml:space="preserve">Models will also be extended to include random cluster by intervention effects (with a non-zero covariance term) to examine if results are sensitive to the assumption of no intervention by cluster interaction. The model is specified in</w:t>
      </w:r>
      <w:r>
        <w:t xml:space="preserve"> </w:t>
      </w:r>
      <w:hyperlink w:anchor="eq-logit-random-cluster-intervention">
        <w:r>
          <w:rPr>
            <w:rStyle w:val="Hyperlink"/>
          </w:rPr>
          <w:t xml:space="preserve">Equation 5</w:t>
        </w:r>
      </w:hyperlink>
      <w:r>
        <w:t xml:space="preserve">.</w:t>
      </w:r>
    </w:p>
    <w:p>
      <w:pPr>
        <w:pStyle w:val="BodyText"/>
      </w:pPr>
      <w:bookmarkStart w:id="91" w:name="eq-logit-random-cluster-intervention"/>
      <m:oMathPara>
        <m:oMathParaPr>
          <m:jc m:val="center"/>
        </m:oMathParaPr>
        <m:oMath>
          <m:r>
            <m:t>g</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r>
            <m:rPr>
              <m:sty m:val="p"/>
            </m:rPr>
            <m:t>×</m:t>
          </m:r>
          <m:sSub>
            <m:e>
              <m:r>
                <m:t>X</m:t>
              </m:r>
            </m:e>
            <m:sub>
              <m:r>
                <m:t>b</m:t>
              </m:r>
              <m:r>
                <m:t>k</m:t>
              </m:r>
              <m:r>
                <m:t>t</m:t>
              </m:r>
            </m:sub>
          </m:sSub>
          <m:r>
            <m:t>  </m:t>
          </m:r>
          <m:d>
            <m:dPr>
              <m:begChr m:val="("/>
              <m:endChr m:val=")"/>
              <m:sepChr m:val=""/>
              <m:grow/>
            </m:dPr>
            <m:e>
              <m:r>
                <m:t>5</m:t>
              </m:r>
            </m:e>
          </m:d>
        </m:oMath>
      </m:oMathPara>
      <w:bookmarkEnd w:id="91"/>
    </w:p>
    <w:p>
      <w:pPr>
        <w:pStyle w:val="FirstParagraph"/>
      </w:pPr>
      <w:r>
        <w:t xml:space="preserve">Where:</w:t>
      </w:r>
    </w:p>
    <w:p>
      <w:pPr>
        <w:numPr>
          <w:ilvl w:val="0"/>
          <w:numId w:val="1010"/>
        </w:numPr>
        <w:pStyle w:val="Compact"/>
      </w:pPr>
      <m:oMath>
        <m:sSub>
          <m:e>
            <m:r>
              <m:t>u</m:t>
            </m:r>
          </m:e>
          <m:sub>
            <m:r>
              <m:t>b</m:t>
            </m:r>
            <m:r>
              <m:t>k</m:t>
            </m:r>
          </m:sub>
        </m:sSub>
      </m:oMath>
      <w:r>
        <w:t xml:space="preserve">: the random effect of cluster</w:t>
      </w:r>
      <w:r>
        <w:t xml:space="preserve"> </w:t>
      </w:r>
      <m:oMath>
        <m:r>
          <m:t>k</m:t>
        </m:r>
      </m:oMath>
      <w:r>
        <w:t xml:space="preserve"> </w:t>
      </w:r>
      <w:r>
        <w:t xml:space="preserve">by intervention interaction.</w:t>
      </w:r>
    </w:p>
    <w:p>
      <w:pPr>
        <w:numPr>
          <w:ilvl w:val="0"/>
          <w:numId w:val="1010"/>
        </w:numPr>
        <w:pStyle w:val="Compact"/>
      </w:pPr>
      <m:oMath>
        <m:sSub>
          <m:e>
            <m:r>
              <m:t>X</m:t>
            </m:r>
          </m:e>
          <m:sub>
            <m:r>
              <m:t>b</m:t>
            </m:r>
            <m:r>
              <m:t>k</m:t>
            </m:r>
            <m:r>
              <m:t>t</m:t>
            </m:r>
          </m:sub>
        </m:sSub>
      </m:oMath>
      <w:r>
        <w:t xml:space="preserve">: the treatment arm indicator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w:t>
      </w:r>
    </w:p>
    <w:p>
      <w:pPr>
        <w:numPr>
          <w:ilvl w:val="0"/>
          <w:numId w:val="1010"/>
        </w:numPr>
        <w:pStyle w:val="Compact"/>
      </w:pPr>
      <w:r>
        <w:t xml:space="preserve">$u_{bk} \times X_{bkt} $: the random interaction effect between the intervention and cluster</w:t>
      </w:r>
      <w:r>
        <w:t xml:space="preserve"> </w:t>
      </w:r>
      <m:oMath>
        <m:r>
          <m:t>k</m:t>
        </m:r>
      </m:oMath>
      <w:r>
        <w:t xml:space="preserve">.</w:t>
      </w:r>
    </w:p>
    <w:bookmarkEnd w:id="92"/>
    <w:bookmarkStart w:id="94" w:name="Xb7b1d3ff7c24f0b8dca2081a41dd1947ef59e07"/>
    <w:p>
      <w:pPr>
        <w:pStyle w:val="Heading4"/>
      </w:pPr>
      <w:r>
        <w:t xml:space="preserve">Models with time modelled with a spline function</w:t>
      </w:r>
    </w:p>
    <w:p>
      <w:pPr>
        <w:pStyle w:val="FirstParagraph"/>
      </w:pPr>
      <w:r>
        <w:t xml:space="preserve">We will further explore the potential for a time-varying treatment effect</w:t>
      </w:r>
      <w:r>
        <w:rPr>
          <w:vertAlign w:val="superscript"/>
        </w:rPr>
        <w:t xml:space="preserve">11</w:t>
      </w:r>
      <w:r>
        <w:t xml:space="preserve">. To explore if the fixed period effect is both parsimonious and adequate to represent the extent of any underlying secular trend, we will model the time effect using natural cubic splines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6</w:t>
        </w:r>
      </w:hyperlink>
      <w:r>
        <w:t xml:space="preserve">.</w:t>
      </w:r>
    </w:p>
    <w:p>
      <w:pPr>
        <w:pStyle w:val="BodyText"/>
      </w:pPr>
      <w:bookmarkStart w:id="93" w:name="eq-spline-model"/>
      <m:oMathPara>
        <m:oMathParaPr>
          <m:jc m:val="center"/>
        </m:oMathParaPr>
        <m:oMath>
          <m:r>
            <m:t>g</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nary>
            <m:naryPr>
              <m:chr m:val="∑"/>
              <m:limLoc m:val="undOvr"/>
              <m:subHide m:val="0"/>
              <m:supHide m:val="0"/>
            </m:naryPr>
            <m:sub>
              <m:r>
                <m:t>j</m:t>
              </m:r>
              <m:r>
                <m:rPr>
                  <m:sty m:val="p"/>
                </m:rPr>
                <m:t>=</m:t>
              </m:r>
              <m:r>
                <m:t>1</m:t>
              </m:r>
            </m:sub>
            <m:sup>
              <m:r>
                <m:t>5</m:t>
              </m:r>
            </m:sup>
            <m:e>
              <m:sSub>
                <m:e>
                  <m:r>
                    <m:t>β</m:t>
                  </m:r>
                </m:e>
                <m:sub>
                  <m:r>
                    <m:t>j</m:t>
                  </m:r>
                </m:sub>
              </m:sSub>
            </m:e>
          </m:nary>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6</m:t>
              </m:r>
            </m:e>
          </m:d>
        </m:oMath>
      </m:oMathPara>
      <w:bookmarkEnd w:id="93"/>
    </w:p>
    <w:p>
      <w:pPr>
        <w:pStyle w:val="FirstParagraph"/>
      </w:pPr>
      <w:r>
        <w:t xml:space="preserve">Where:</w:t>
      </w:r>
    </w:p>
    <w:p>
      <w:pPr>
        <w:numPr>
          <w:ilvl w:val="0"/>
          <w:numId w:val="1011"/>
        </w:numPr>
        <w:pStyle w:val="Compact"/>
      </w:pPr>
      <m:oMath>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oMath>
      <w:r>
        <w:t xml:space="preserve">: the natural cubic spline basis functions with knots placed at times 3, 6 and 9.</w:t>
      </w:r>
    </w:p>
    <w:p>
      <w:pPr>
        <w:numPr>
          <w:ilvl w:val="0"/>
          <w:numId w:val="1011"/>
        </w:numPr>
        <w:pStyle w:val="Compact"/>
      </w:pPr>
      <m:oMath>
        <m:sSub>
          <m:e>
            <m:r>
              <m:t>β</m:t>
            </m:r>
          </m:e>
          <m:sub>
            <m:r>
              <m:t>j</m:t>
            </m:r>
          </m:sub>
        </m:sSub>
      </m:oMath>
      <w:r>
        <w:t xml:space="preserve">: the coefficient for the</w:t>
      </w:r>
      <w:r>
        <w:t xml:space="preserve"> </w:t>
      </w:r>
      <m:oMath>
        <m:r>
          <m:t>j</m:t>
        </m:r>
      </m:oMath>
      <w:r>
        <w:t xml:space="preserve">-th spline basis function.</w:t>
      </w:r>
    </w:p>
    <w:bookmarkEnd w:id="94"/>
    <w:bookmarkStart w:id="96" w:name="models-exploring-lag-and-weaning-effects"/>
    <w:p>
      <w:pPr>
        <w:pStyle w:val="Heading4"/>
      </w:pPr>
      <w:r>
        <w:t xml:space="preserve">Models exploring lag and weaning effects</w:t>
      </w:r>
    </w:p>
    <w:p>
      <w:pPr>
        <w:pStyle w:val="FirstParagraph"/>
      </w:pPr>
      <w:r>
        <w:t xml:space="preserve">Models will also be extended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7</w:t>
        </w:r>
      </w:hyperlink>
      <w:r>
        <w:t xml:space="preserve">.</w:t>
      </w:r>
    </w:p>
    <w:p>
      <w:pPr>
        <w:pStyle w:val="BodyText"/>
      </w:pPr>
      <w:bookmarkStart w:id="95" w:name="eq-lag-weaning-model"/>
      <m:oMathPara>
        <m:oMathParaPr>
          <m:jc m:val="center"/>
        </m:oMathParaPr>
        <m:oMath>
          <m:r>
            <m:t>g</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1</m:t>
                  </m:r>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7</m:t>
              </m:r>
            </m:e>
          </m:d>
        </m:oMath>
      </m:oMathPara>
      <w:bookmarkEnd w:id="95"/>
    </w:p>
    <w:p>
      <w:pPr>
        <w:pStyle w:val="FirstParagraph"/>
      </w:pPr>
      <w:r>
        <w:t xml:space="preserve">Where:</w:t>
      </w:r>
    </w:p>
    <w:p>
      <w:pPr>
        <w:numPr>
          <w:ilvl w:val="0"/>
          <w:numId w:val="1012"/>
        </w:numPr>
        <w:pStyle w:val="Compact"/>
      </w:pPr>
      <m:oMath>
        <m:sSub>
          <m:e>
            <m:r>
              <m:t>θ</m:t>
            </m:r>
          </m:e>
          <m:sub>
            <m:r>
              <m:rPr>
                <m:nor/>
                <m:sty m:val="p"/>
              </m:rPr>
              <m:t>int</m:t>
            </m:r>
          </m:sub>
        </m:sSub>
      </m:oMath>
      <w:r>
        <w:t xml:space="preserve"> </w:t>
      </w:r>
      <w:r>
        <w:t xml:space="preserve">is the coefficient for the interaction between treatment and time since first treated.</w:t>
      </w:r>
    </w:p>
    <w:p>
      <w:pPr>
        <w:numPr>
          <w:ilvl w:val="0"/>
          <w:numId w:val="1012"/>
        </w:numPr>
        <w:pStyle w:val="Compact"/>
      </w:pPr>
      <m:oMath>
        <m:sSub>
          <m:e>
            <m:r>
              <m:t>T</m:t>
            </m:r>
          </m:e>
          <m:sub>
            <m:r>
              <m:t>b</m:t>
            </m:r>
            <m:r>
              <m:t>k</m:t>
            </m:r>
            <m:r>
              <m:t>t</m:t>
            </m:r>
          </m:sub>
        </m:sSub>
      </m:oMath>
      <w:r>
        <w:t xml:space="preserve"> </w:t>
      </w:r>
      <w:r>
        <w:t xml:space="preserve">is the number of periods since first treated.</w:t>
      </w:r>
    </w:p>
    <w:bookmarkEnd w:id="96"/>
    <w:bookmarkEnd w:id="97"/>
    <w:bookmarkStart w:id="99" w:name="adjusted-analyses"/>
    <w:p>
      <w:pPr>
        <w:pStyle w:val="Heading3"/>
      </w:pPr>
      <w:r>
        <w:t xml:space="preserve">5.12.3 Adjusted analyses</w:t>
      </w:r>
    </w:p>
    <w:p>
      <w:pPr>
        <w:pStyle w:val="FirstParagraph"/>
      </w:pPr>
      <w:r>
        <w:t xml:space="preserve">Fully adjusted covariate analysis will additionally adjust for</w:t>
      </w:r>
      <w:r>
        <w:rPr>
          <w:rStyle w:val="FootnoteReference"/>
        </w:rPr>
        <w:footnoteReference w:id="98"/>
      </w:r>
      <w:r>
        <w:t xml:space="preserve"> </w:t>
      </w:r>
      <w:r>
        <w:t xml:space="preserve">(expected % missing data in parentheses):</w:t>
      </w:r>
    </w:p>
    <w:p>
      <w:pPr>
        <w:numPr>
          <w:ilvl w:val="0"/>
          <w:numId w:val="1013"/>
        </w:numPr>
        <w:pStyle w:val="Compact"/>
      </w:pPr>
      <w:r>
        <w:t xml:space="preserve">Age (&lt;5%)</w:t>
      </w:r>
    </w:p>
    <w:p>
      <w:pPr>
        <w:numPr>
          <w:ilvl w:val="0"/>
          <w:numId w:val="1013"/>
        </w:numPr>
        <w:pStyle w:val="Compact"/>
      </w:pPr>
      <w:r>
        <w:t xml:space="preserve">Sex (&lt;5%)</w:t>
      </w:r>
    </w:p>
    <w:p>
      <w:pPr>
        <w:numPr>
          <w:ilvl w:val="0"/>
          <w:numId w:val="1013"/>
        </w:numPr>
        <w:pStyle w:val="Compact"/>
      </w:pPr>
      <w:r>
        <w:t xml:space="preserve">Systolic blood pressure (25%)</w:t>
      </w:r>
    </w:p>
    <w:p>
      <w:pPr>
        <w:numPr>
          <w:ilvl w:val="0"/>
          <w:numId w:val="1013"/>
        </w:numPr>
        <w:pStyle w:val="Compact"/>
      </w:pPr>
      <w:r>
        <w:t xml:space="preserve">Glasgow Coma Scale (25%)</w:t>
      </w:r>
    </w:p>
    <w:p>
      <w:pPr>
        <w:numPr>
          <w:ilvl w:val="0"/>
          <w:numId w:val="1013"/>
        </w:numPr>
        <w:pStyle w:val="Compact"/>
      </w:pPr>
      <w:r>
        <w:t xml:space="preserve">Injury Severity Score (10%)</w:t>
      </w:r>
    </w:p>
    <w:p>
      <w:pPr>
        <w:numPr>
          <w:ilvl w:val="0"/>
          <w:numId w:val="1013"/>
        </w:numPr>
        <w:pStyle w:val="Compact"/>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logit-model">
        <w:r>
          <w:rPr>
            <w:rStyle w:val="Hyperlink"/>
          </w:rPr>
          <w:t xml:space="preserve">Equation 1</w:t>
        </w:r>
      </w:hyperlink>
      <w:r>
        <w:t xml:space="preserve"> </w:t>
      </w:r>
      <w:r>
        <w:t xml:space="preserve">and</w:t>
      </w:r>
      <w:r>
        <w:t xml:space="preserve"> </w:t>
      </w:r>
      <w:hyperlink w:anchor="eq-identity-model">
        <w:r>
          <w:rPr>
            <w:rStyle w:val="Hyperlink"/>
          </w:rPr>
          <w:t xml:space="preserve">Equation 2</w:t>
        </w:r>
      </w:hyperlink>
      <w:r>
        <w:t xml:space="preserve"> </w:t>
      </w:r>
      <w:r>
        <w:t xml:space="preserve">as fixed effects. We will model the continuous covariates assuming linear effects.</w:t>
      </w:r>
    </w:p>
    <w:bookmarkEnd w:id="99"/>
    <w:bookmarkStart w:id="101" w:name="subgroup-analyses"/>
    <w:p>
      <w:pPr>
        <w:pStyle w:val="Heading3"/>
      </w:pPr>
      <w:r>
        <w:t xml:space="preserve">5.12.4 Subgroup analyses</w:t>
      </w:r>
    </w:p>
    <w:p>
      <w:pPr>
        <w:pStyle w:val="FirstParagraph"/>
      </w:pPr>
      <w:r>
        <w:t xml:space="preserve">We will perform the following subgroup analyses</w:t>
      </w:r>
      <w:r>
        <w:rPr>
          <w:rStyle w:val="FootnoteReference"/>
        </w:rPr>
        <w:footnoteReference w:id="100"/>
      </w:r>
      <w:r>
        <w:t xml:space="preserve">:</w:t>
      </w:r>
    </w:p>
    <w:p>
      <w:pPr>
        <w:numPr>
          <w:ilvl w:val="0"/>
          <w:numId w:val="1014"/>
        </w:numPr>
        <w:pStyle w:val="Compact"/>
      </w:pPr>
      <w:r>
        <w:t xml:space="preserve">geographical region, defined using the state in which the participating hospital is located. Demonstrating the consistency of any effect across multiple regions will enhance the generalisibility of the results;</w:t>
      </w:r>
    </w:p>
    <w:p>
      <w:pPr>
        <w:numPr>
          <w:ilvl w:val="0"/>
          <w:numId w:val="1014"/>
        </w:numPr>
        <w:pStyle w:val="Compact"/>
      </w:pPr>
      <w:r>
        <w:t xml:space="preserve">age groups, defined as older adolescents (15-19 years), young adults (20-24 years), adults (25-59 years), and older adults (60 years and older) [</w:t>
      </w:r>
      <w:r>
        <w:rPr>
          <w:vertAlign w:val="superscript"/>
        </w:rPr>
        <w:t xml:space="preserve">12</w:t>
      </w:r>
      <w:r>
        <w:t xml:space="preserve">;</w:t>
      </w:r>
    </w:p>
    <w:p>
      <w:pPr>
        <w:numPr>
          <w:ilvl w:val="0"/>
          <w:numId w:val="1014"/>
        </w:numPr>
        <w:pStyle w:val="Compact"/>
      </w:pPr>
      <w:r>
        <w:t xml:space="preserve">sex, using the levels male and female;</w:t>
      </w:r>
    </w:p>
    <w:p>
      <w:pPr>
        <w:numPr>
          <w:ilvl w:val="0"/>
          <w:numId w:val="1014"/>
        </w:numPr>
        <w:pStyle w:val="Compact"/>
      </w:pPr>
      <w:r>
        <w:t xml:space="preserve">clinical cohorts, defined as blunt multisystem trauma, penetrating trauma, and severe isolated traumatic brain injury, with modification to avoid overlap between the cohorts; and</w:t>
      </w:r>
    </w:p>
    <w:p>
      <w:pPr>
        <w:numPr>
          <w:ilvl w:val="0"/>
          <w:numId w:val="1014"/>
        </w:numPr>
        <w:pStyle w:val="Compact"/>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logit-model">
        <w:r>
          <w:rPr>
            <w:rStyle w:val="Hyperlink"/>
          </w:rPr>
          <w:t xml:space="preserve">Equation 1</w:t>
        </w:r>
      </w:hyperlink>
      <w:r>
        <w:t xml:space="preserve"> </w:t>
      </w:r>
      <w:r>
        <w:t xml:space="preserve">and</w:t>
      </w:r>
      <w:r>
        <w:t xml:space="preserve"> </w:t>
      </w:r>
      <w:hyperlink w:anchor="eq-identity-model">
        <w:r>
          <w:rPr>
            <w:rStyle w:val="Hyperlink"/>
          </w:rPr>
          <w:t xml:space="preserve">Equation 2</w:t>
        </w:r>
      </w:hyperlink>
      <w:r>
        <w:t xml:space="preserve">.</w:t>
      </w:r>
    </w:p>
    <w:bookmarkEnd w:id="101"/>
    <w:bookmarkStart w:id="102" w:name="treatment-of-missing-data"/>
    <w:p>
      <w:pPr>
        <w:pStyle w:val="Heading3"/>
      </w:pPr>
      <w:r>
        <w:t xml:space="preserve">5.12.5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Additionally, we will perform diagnostic checks after multiple imputation to ensure the quality of the imputation process, including comparing distributions of observed and imputed data and checking convergence.</w:t>
      </w:r>
    </w:p>
    <w:bookmarkEnd w:id="102"/>
    <w:bookmarkEnd w:id="103"/>
    <w:bookmarkStart w:id="116" w:name="analysis-of-secondary-outcomes"/>
    <w:p>
      <w:pPr>
        <w:pStyle w:val="Heading2"/>
      </w:pPr>
      <w:r>
        <w:t xml:space="preserve">5.13 Analysis of secondary outcomes</w:t>
      </w:r>
    </w:p>
    <w:bookmarkStart w:id="104" w:name="Xf8ad26412ad98b449304d4475d81963b294c2ae"/>
    <w:p>
      <w:pPr>
        <w:pStyle w:val="Heading3"/>
      </w:pPr>
      <w:r>
        <w:t xml:space="preserve">5.13.1 All cause mortality within 24 hours, 30 days and three months of arrival at the emergency department</w:t>
      </w:r>
    </w:p>
    <w:p>
      <w:pPr>
        <w:pStyle w:val="FirstParagraph"/>
      </w:pPr>
      <w:r>
        <w:t xml:space="preserve">We will use the model with the logit link specified in</w:t>
      </w:r>
      <w:r>
        <w:t xml:space="preserve"> </w:t>
      </w:r>
      <w:hyperlink w:anchor="eq-logit-model">
        <w:r>
          <w:rPr>
            <w:rStyle w:val="Hyperlink"/>
          </w:rPr>
          <w:t xml:space="preserve">Equation 1</w:t>
        </w:r>
      </w:hyperlink>
      <w:r>
        <w:t xml:space="preserve"> </w:t>
      </w:r>
      <w:r>
        <w:t xml:space="preserve">and the model with the identity link specified in</w:t>
      </w:r>
      <w:r>
        <w:t xml:space="preserve"> </w:t>
      </w:r>
      <w:hyperlink w:anchor="eq-identity-model">
        <w:r>
          <w:rPr>
            <w:rStyle w:val="Hyperlink"/>
          </w:rPr>
          <w:t xml:space="preserve">Equation 2</w:t>
        </w:r>
      </w:hyperlink>
      <w:r>
        <w:t xml:space="preserve"> </w:t>
      </w:r>
      <w:r>
        <w:t xml:space="preserve">to estimate the OR and risk difference for these mortality outcomes.</w:t>
      </w:r>
    </w:p>
    <w:bookmarkEnd w:id="104"/>
    <w:bookmarkStart w:id="107" w:name="X0b80a436631c0e8dbb0ed0909088c219e6e4981"/>
    <w:p>
      <w:pPr>
        <w:pStyle w:val="Heading3"/>
      </w:pPr>
      <w:r>
        <w:t xml:space="preserve">5.13.2 Quality of life within seven days of discharge, and at 30 days and three months of arrival at the emergency department</w:t>
      </w:r>
    </w:p>
    <w:p>
      <w:pPr>
        <w:pStyle w:val="FirstParagraph"/>
      </w:pPr>
      <w:r>
        <w:t xml:space="preserve">Quality of life will be measured by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for self-rated quality of life, ranging from 0 to 100. For each of the five dimensions we will use a mixed effects ordinal model as specified in</w:t>
      </w:r>
      <w:r>
        <w:t xml:space="preserve"> </w:t>
      </w:r>
      <w:hyperlink w:anchor="eq-ordinal-model">
        <w:r>
          <w:rPr>
            <w:rStyle w:val="Hyperlink"/>
          </w:rPr>
          <w:t xml:space="preserve">Equation 8</w:t>
        </w:r>
      </w:hyperlink>
      <w:r>
        <w:t xml:space="preserve">.</w:t>
      </w:r>
    </w:p>
    <w:p>
      <w:pPr>
        <w:pStyle w:val="BodyText"/>
      </w:pPr>
      <w:bookmarkStart w:id="105" w:name="eq-ordinal-model"/>
      <m:oMathPara>
        <m:oMathParaPr>
          <m:jc m:val="center"/>
        </m:oMathParaPr>
        <m:oMath>
          <m:r>
            <m:rPr>
              <m:nor/>
              <m:sty m:val="p"/>
            </m:rPr>
            <m:t>logit</m:t>
          </m:r>
          <m:d>
            <m:dPr>
              <m:begChr m:val="("/>
              <m:endChr m:val=")"/>
              <m:sepChr m:val=""/>
              <m:grow/>
            </m:dPr>
            <m:e>
              <m:r>
                <m:rPr>
                  <m:nor/>
                  <m:sty m:val="p"/>
                </m:rPr>
                <m:t>Pr</m:t>
              </m:r>
              <m:d>
                <m:dPr>
                  <m:begChr m:val="("/>
                  <m:endChr m:val=")"/>
                  <m:sepChr m:val=""/>
                  <m:grow/>
                </m:dPr>
                <m:e>
                  <m:sSub>
                    <m:e>
                      <m:r>
                        <m:t>Y</m:t>
                      </m:r>
                    </m:e>
                    <m:sub>
                      <m:r>
                        <m:t>b</m:t>
                      </m:r>
                      <m:r>
                        <m:t>k</m:t>
                      </m:r>
                      <m:r>
                        <m:t>t</m:t>
                      </m:r>
                      <m:r>
                        <m:t>i</m:t>
                      </m:r>
                    </m:sub>
                  </m:sSub>
                  <m:r>
                    <m:rPr>
                      <m:sty m:val="p"/>
                    </m:rPr>
                    <m:t>≤</m:t>
                  </m:r>
                  <m:r>
                    <m:t>j</m:t>
                  </m:r>
                </m:e>
              </m:d>
            </m:e>
          </m:d>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8</m:t>
              </m:r>
            </m:e>
          </m:d>
        </m:oMath>
      </m:oMathPara>
      <w:bookmarkEnd w:id="105"/>
    </w:p>
    <w:p>
      <w:pPr>
        <w:pStyle w:val="FirstParagraph"/>
      </w:pPr>
      <w:r>
        <w:t xml:space="preserve">Where:</w:t>
      </w:r>
    </w:p>
    <w:p>
      <w:pPr>
        <w:numPr>
          <w:ilvl w:val="0"/>
          <w:numId w:val="1015"/>
        </w:numPr>
        <w:pStyle w:val="Compact"/>
      </w:pPr>
      <m:oMath>
        <m:sSub>
          <m:e>
            <m:r>
              <m:t>μ</m:t>
            </m:r>
          </m:e>
          <m:sub>
            <m:r>
              <m:t>j</m:t>
            </m:r>
          </m:sub>
        </m:sSub>
      </m:oMath>
      <w:r>
        <w:t xml:space="preserve">: the intercept for the</w:t>
      </w:r>
      <w:r>
        <w:t xml:space="preserve"> </w:t>
      </w:r>
      <m:oMath>
        <m:r>
          <m:t>j</m:t>
        </m:r>
      </m:oMath>
      <w:r>
        <w:t xml:space="preserve">-th category of the EQ5D dimension (</w:t>
      </w:r>
      <m:oMath>
        <m:r>
          <m:t>j</m:t>
        </m:r>
      </m:oMath>
      <w:r>
        <w:t xml:space="preserve"> </w:t>
      </w:r>
      <w:r>
        <w:t xml:space="preserve">= 1, 2, 3, 4, 5).</w:t>
      </w:r>
    </w:p>
    <w:p>
      <w:pPr>
        <w:pStyle w:val="FirstParagraph"/>
      </w:pPr>
      <w:r>
        <w:t xml:space="preserve">The VAS will be analysed using a linear mixed effects model as specified in</w:t>
      </w:r>
      <w:r>
        <w:t xml:space="preserve"> </w:t>
      </w:r>
      <w:hyperlink w:anchor="eq-linear-model">
        <w:r>
          <w:rPr>
            <w:rStyle w:val="Hyperlink"/>
          </w:rPr>
          <w:t xml:space="preserve">Equation 9</w:t>
        </w:r>
      </w:hyperlink>
      <w:r>
        <w:t xml:space="preserve">.</w:t>
      </w:r>
    </w:p>
    <w:p>
      <w:pPr>
        <w:pStyle w:val="BodyText"/>
      </w:pPr>
      <w:bookmarkStart w:id="106"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t>N</m:t>
          </m:r>
          <m:d>
            <m:dPr>
              <m:begChr m:val="("/>
              <m:endChr m:val=")"/>
              <m:sepChr m:val=""/>
              <m:grow/>
            </m:dPr>
            <m:e>
              <m:r>
                <m:t>0</m:t>
              </m:r>
              <m:r>
                <m:rPr>
                  <m:sty m:val="p"/>
                </m:rPr>
                <m:t>,</m:t>
              </m:r>
              <m:sSup>
                <m:e>
                  <m:r>
                    <m:t>σ</m:t>
                  </m:r>
                </m:e>
                <m:sup>
                  <m:r>
                    <m:t>2</m:t>
                  </m:r>
                </m:sup>
              </m:sSup>
            </m:e>
          </m:d>
          <m:r>
            <m:t>  </m:t>
          </m:r>
          <m:d>
            <m:dPr>
              <m:begChr m:val="("/>
              <m:endChr m:val=")"/>
              <m:sepChr m:val=""/>
              <m:grow/>
            </m:dPr>
            <m:e>
              <m:r>
                <m:t>9</m:t>
              </m:r>
            </m:e>
          </m:d>
        </m:oMath>
      </m:oMathPara>
      <w:bookmarkEnd w:id="106"/>
    </w:p>
    <w:p>
      <w:pPr>
        <w:pStyle w:val="FirstParagraph"/>
      </w:pPr>
      <w:r>
        <w:t xml:space="preserve">Where:</w:t>
      </w:r>
    </w:p>
    <w:p>
      <w:pPr>
        <w:numPr>
          <w:ilvl w:val="0"/>
          <w:numId w:val="1016"/>
        </w:numPr>
        <w:pStyle w:val="Compact"/>
      </w:pPr>
      <m:oMath>
        <m:sSub>
          <m:e>
            <m:r>
              <m:t>ϵ</m:t>
            </m:r>
          </m:e>
          <m:sub>
            <m:r>
              <m:t>b</m:t>
            </m:r>
            <m:r>
              <m:t>k</m:t>
            </m:r>
            <m:r>
              <m:t>t</m:t>
            </m:r>
            <m:r>
              <m:t>i</m:t>
            </m:r>
          </m:sub>
        </m:sSub>
      </m:oMath>
      <w:r>
        <w:t xml:space="preserve">: the error term for patient</w:t>
      </w:r>
      <w:r>
        <w:t xml:space="preserve"> </w:t>
      </w:r>
      <m:oMath>
        <m:r>
          <m:t>i</m:t>
        </m:r>
      </m:oMath>
      <w:r>
        <w:t xml:space="preserve"> </w:t>
      </w:r>
      <w:r>
        <w:t xml:space="preserve">in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assumed to be normally distributed with mean 0 and variance</w:t>
      </w:r>
      <w:r>
        <w:t xml:space="preserve"> </w:t>
      </w:r>
      <m:oMath>
        <m:sSup>
          <m:e>
            <m:r>
              <m:t>σ</m:t>
            </m:r>
          </m:e>
          <m:sup>
            <m:r>
              <m:t>2</m:t>
            </m:r>
          </m:sup>
        </m:sSup>
      </m:oMath>
      <w:r>
        <w:t xml:space="preserve">.</w:t>
      </w:r>
    </w:p>
    <w:bookmarkEnd w:id="107"/>
    <w:bookmarkStart w:id="108" w:name="X0bcba944ddc1979254204023a08bf4a2ef66934"/>
    <w:p>
      <w:pPr>
        <w:pStyle w:val="Heading3"/>
      </w:pPr>
      <w:r>
        <w:t xml:space="preserve">5.13.3 Disability within seven days of discharge, and at 30 days and three months of arrival at the emergency department</w:t>
      </w:r>
    </w:p>
    <w:p>
      <w:pPr>
        <w:pStyle w:val="FirstParagraph"/>
      </w:pPr>
      <w:r>
        <w:t xml:space="preserve">We will measure disability using the WHO Disability Assessment Schedule 2.0 (WHODAS 2.0)</w:t>
      </w:r>
      <w:r>
        <w:rPr>
          <w:vertAlign w:val="superscript"/>
        </w:rPr>
        <w:t xml:space="preserve">13</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8</w:t>
        </w:r>
      </w:hyperlink>
      <w:r>
        <w:t xml:space="preserve">. We will also calculate a WHODAS 2.0 summary score using the method referred to as the</w:t>
      </w:r>
      <w:r>
        <w:t xml:space="preserve"> </w:t>
      </w:r>
      <w:r>
        <w:t xml:space="preserve">“</w:t>
      </w:r>
      <w:r>
        <w:t xml:space="preserve">complex scoring</w:t>
      </w:r>
      <w:r>
        <w:t xml:space="preserve">”</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9</w:t>
        </w:r>
      </w:hyperlink>
      <w:r>
        <w:t xml:space="preserve">.</w:t>
      </w:r>
    </w:p>
    <w:bookmarkEnd w:id="108"/>
    <w:bookmarkStart w:id="109" w:name="X2a1569eaad9d2eee0f76ad0c198a1d7129f9ea3"/>
    <w:p>
      <w:pPr>
        <w:pStyle w:val="Heading3"/>
      </w:pPr>
      <w:r>
        <w:t xml:space="preserve">5.13.4 Return to work at 30 days and three months after arrival at the emergency department</w:t>
      </w:r>
    </w:p>
    <w:p>
      <w:pPr>
        <w:pStyle w:val="FirstParagraph"/>
      </w:pPr>
      <w:r>
        <w:t xml:space="preserve">We will analyse return to work as a dichotomous variable using a mixed effects binomial model with a logit link as specified in</w:t>
      </w:r>
      <w:r>
        <w:t xml:space="preserve"> </w:t>
      </w:r>
      <w:hyperlink w:anchor="eq-logit-model">
        <w:r>
          <w:rPr>
            <w:rStyle w:val="Hyperlink"/>
          </w:rPr>
          <w:t xml:space="preserve">Equation 1</w:t>
        </w:r>
      </w:hyperlink>
      <w:r>
        <w:t xml:space="preserve">.</w:t>
      </w:r>
    </w:p>
    <w:bookmarkEnd w:id="109"/>
    <w:bookmarkStart w:id="110" w:name="length-of-emergency-department-stay"/>
    <w:p>
      <w:pPr>
        <w:pStyle w:val="Heading3"/>
      </w:pPr>
      <w:r>
        <w:t xml:space="preserve">5.13.5 Length of emergency department stay</w:t>
      </w:r>
    </w:p>
    <w:p>
      <w:pPr>
        <w:pStyle w:val="FirstParagraph"/>
      </w:pPr>
      <w:r>
        <w:t xml:space="preserve">We will analyse length of emergency department stay as a continuous variable using a linear mixed effects model as specified in</w:t>
      </w:r>
      <w:r>
        <w:t xml:space="preserve"> </w:t>
      </w:r>
      <w:hyperlink w:anchor="eq-linear-model">
        <w:r>
          <w:rPr>
            <w:rStyle w:val="Hyperlink"/>
          </w:rPr>
          <w:t xml:space="preserve">Equation 9</w:t>
        </w:r>
      </w:hyperlink>
      <w:r>
        <w:t xml:space="preserve">.</w:t>
      </w:r>
    </w:p>
    <w:bookmarkEnd w:id="110"/>
    <w:bookmarkStart w:id="111" w:name="length-of-hospital-stay"/>
    <w:p>
      <w:pPr>
        <w:pStyle w:val="Heading3"/>
      </w:pPr>
      <w:r>
        <w:t xml:space="preserve">5.13.6 Length of hospital stay</w:t>
      </w:r>
    </w:p>
    <w:p>
      <w:pPr>
        <w:pStyle w:val="FirstParagraph"/>
      </w:pPr>
      <w:r>
        <w:t xml:space="preserve">We will analyse length of hospital stay as a continuous variable using a linear mixed effects model as specified in</w:t>
      </w:r>
      <w:r>
        <w:t xml:space="preserve"> </w:t>
      </w:r>
      <w:hyperlink w:anchor="eq-linear-model">
        <w:r>
          <w:rPr>
            <w:rStyle w:val="Hyperlink"/>
          </w:rPr>
          <w:t xml:space="preserve">Equation 9</w:t>
        </w:r>
      </w:hyperlink>
      <w:r>
        <w:t xml:space="preserve">.</w:t>
      </w:r>
    </w:p>
    <w:bookmarkEnd w:id="111"/>
    <w:bookmarkStart w:id="112" w:name="intensive-care-unit-admission"/>
    <w:p>
      <w:pPr>
        <w:pStyle w:val="Heading3"/>
      </w:pPr>
      <w:r>
        <w:t xml:space="preserve">5.13.7 Intensive care unit admission</w:t>
      </w:r>
    </w:p>
    <w:p>
      <w:pPr>
        <w:pStyle w:val="FirstParagraph"/>
      </w:pPr>
      <w:r>
        <w:t xml:space="preserve">We will analyse intensive care unit admission as a dichotomous variable using a mixed effects binomial model with a logit link as specified in</w:t>
      </w:r>
      <w:r>
        <w:t xml:space="preserve"> </w:t>
      </w:r>
      <w:hyperlink w:anchor="eq-logit-model">
        <w:r>
          <w:rPr>
            <w:rStyle w:val="Hyperlink"/>
          </w:rPr>
          <w:t xml:space="preserve">Equation 1</w:t>
        </w:r>
      </w:hyperlink>
      <w:r>
        <w:t xml:space="preserve">.</w:t>
      </w:r>
    </w:p>
    <w:bookmarkEnd w:id="112"/>
    <w:bookmarkStart w:id="113" w:name="length-of-intensive-care-unit-stay"/>
    <w:p>
      <w:pPr>
        <w:pStyle w:val="Heading3"/>
      </w:pPr>
      <w:r>
        <w:t xml:space="preserve">5.13.8 Length of intensive care unit stay</w:t>
      </w:r>
    </w:p>
    <w:p>
      <w:pPr>
        <w:pStyle w:val="FirstParagraph"/>
      </w:pPr>
      <w:r>
        <w:t xml:space="preserve">We will analyse length of intensive care unit stay as a continuous variable using a linear mixed effects model as specified in</w:t>
      </w:r>
      <w:r>
        <w:t xml:space="preserve"> </w:t>
      </w:r>
      <w:hyperlink w:anchor="eq-linear-model">
        <w:r>
          <w:rPr>
            <w:rStyle w:val="Hyperlink"/>
          </w:rPr>
          <w:t xml:space="preserve">Equation 9</w:t>
        </w:r>
      </w:hyperlink>
      <w:r>
        <w:t xml:space="preserve">.</w:t>
      </w:r>
    </w:p>
    <w:bookmarkEnd w:id="113"/>
    <w:bookmarkStart w:id="115" w:name="X5037a1d47abaf80439915bb3ba5c524d444c7d7"/>
    <w:p>
      <w:pPr>
        <w:pStyle w:val="Heading3"/>
      </w:pPr>
      <w:r>
        <w:t xml:space="preserve">5.13.9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steps completed, with 100% adherence defined as completing all 14 steps. We will analyse adherence using a mixed-effects beta regression model with a logit link as specified in</w:t>
      </w:r>
      <w:r>
        <w:t xml:space="preserve"> </w:t>
      </w:r>
      <w:hyperlink w:anchor="eq-beta-model">
        <w:r>
          <w:rPr>
            <w:rStyle w:val="Hyperlink"/>
          </w:rPr>
          <w:t xml:space="preserve">Equation 10</w:t>
        </w:r>
      </w:hyperlink>
      <w:r>
        <w:t xml:space="preserve">.</w:t>
      </w:r>
    </w:p>
    <w:p>
      <w:pPr>
        <w:pStyle w:val="BodyText"/>
      </w:pPr>
      <w:bookmarkStart w:id="114" w:name="eq-beta-model"/>
      <m:oMathPara>
        <m:oMathParaPr>
          <m:jc m:val="center"/>
        </m:oMathParaPr>
        <m:oMath>
          <m:r>
            <m:rPr>
              <m:nor/>
              <m:sty m:val="p"/>
            </m:rPr>
            <m:t>logit</m:t>
          </m:r>
          <m:d>
            <m:dPr>
              <m:begChr m:val="("/>
              <m:endChr m:val=")"/>
              <m:sepChr m:val=""/>
              <m:grow/>
            </m:dPr>
            <m:e>
              <m:r>
                <m:rPr>
                  <m:nor/>
                  <m:sty m:val="p"/>
                </m:rPr>
                <m:t>E</m:t>
              </m:r>
              <m:d>
                <m:dPr>
                  <m:begChr m:val="("/>
                  <m:endChr m:val=")"/>
                  <m:sepChr m:val=""/>
                  <m:grow/>
                </m:dPr>
                <m:e>
                  <m:sSub>
                    <m:e>
                      <m:r>
                        <m:t>Y</m:t>
                      </m:r>
                    </m:e>
                    <m:sub>
                      <m:r>
                        <m:t>b</m:t>
                      </m:r>
                      <m:r>
                        <m:t>k</m:t>
                      </m:r>
                      <m:r>
                        <m:t>t</m:t>
                      </m:r>
                      <m:r>
                        <m:t>i</m:t>
                      </m:r>
                    </m:sub>
                  </m:sSub>
                </m:e>
              </m:d>
            </m:e>
          </m:d>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10</m:t>
              </m:r>
            </m:e>
          </m:d>
        </m:oMath>
      </m:oMathPara>
      <w:bookmarkEnd w:id="114"/>
    </w:p>
    <w:p>
      <w:pPr>
        <w:pStyle w:val="FirstParagraph"/>
      </w:pPr>
      <w:r>
        <w:t xml:space="preserve">Where:</w:t>
      </w:r>
    </w:p>
    <w:p>
      <w:pPr>
        <w:numPr>
          <w:ilvl w:val="0"/>
          <w:numId w:val="1017"/>
        </w:numPr>
        <w:pStyle w:val="Compact"/>
      </w:pPr>
      <m:oMath>
        <m:r>
          <m:rPr>
            <m:nor/>
            <m:sty m:val="p"/>
          </m:rPr>
          <m:t>E</m:t>
        </m:r>
        <m:d>
          <m:dPr>
            <m:begChr m:val="("/>
            <m:endChr m:val=")"/>
            <m:sepChr m:val=""/>
            <m:grow/>
          </m:dPr>
          <m:e>
            <m:sSub>
              <m:e>
                <m:r>
                  <m:t>Y</m:t>
                </m:r>
              </m:e>
              <m:sub>
                <m:r>
                  <m:t>b</m:t>
                </m:r>
                <m:r>
                  <m:t>k</m:t>
                </m:r>
                <m:r>
                  <m:t>t</m:t>
                </m:r>
                <m:r>
                  <m:t>i</m:t>
                </m:r>
              </m:sub>
            </m:sSub>
          </m:e>
        </m:d>
      </m:oMath>
      <w:r>
        <w:t xml:space="preserve">: The expected proportion of completed ATLS steps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w:t>
      </w:r>
    </w:p>
    <w:p>
      <w:pPr>
        <w:numPr>
          <w:ilvl w:val="0"/>
          <w:numId w:val="1017"/>
        </w:numPr>
        <w:pStyle w:val="Compact"/>
      </w:pPr>
      <m:oMath>
        <m:r>
          <m:t>μ</m:t>
        </m:r>
      </m:oMath>
      <w:r>
        <w:t xml:space="preserve">: The intercept, representing the baseline log-odds of completing ATLS steps when all predictors are set to 1.</w:t>
      </w:r>
    </w:p>
    <w:p>
      <w:pPr>
        <w:numPr>
          <w:ilvl w:val="0"/>
          <w:numId w:val="1017"/>
        </w:numPr>
        <w:pStyle w:val="Compact"/>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allowing for different period effects for each batch.</w:t>
      </w:r>
    </w:p>
    <w:p>
      <w:pPr>
        <w:numPr>
          <w:ilvl w:val="0"/>
          <w:numId w:val="1017"/>
        </w:numPr>
        <w:pStyle w:val="Compact"/>
      </w:pPr>
      <m:oMath>
        <m:r>
          <m:t>θ</m:t>
        </m:r>
      </m:oMath>
      <w:r>
        <w:t xml:space="preserve">: The fixed effect of ATLS exposure, representing the effect of the intervention on adherence to ATLS principles.</w:t>
      </w:r>
    </w:p>
    <w:p>
      <w:pPr>
        <w:numPr>
          <w:ilvl w:val="0"/>
          <w:numId w:val="1017"/>
        </w:numPr>
        <w:pStyle w:val="Compact"/>
      </w:pPr>
      <m:oMath>
        <m:sSub>
          <m:e>
            <m:r>
              <m:t>X</m:t>
            </m:r>
          </m:e>
          <m:sub>
            <m:r>
              <m:t>b</m:t>
            </m:r>
            <m:r>
              <m:t>k</m:t>
            </m:r>
            <m:r>
              <m:t>t</m:t>
            </m:r>
          </m:sub>
        </m:sSub>
      </m:oMath>
      <w:r>
        <w:t xml:space="preserve">: The treatment arm indicator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t>
      </w:r>
      <w:r>
        <w:t xml:space="preserve">(1 for ATLS, 0 for standard care).</w:t>
      </w:r>
    </w:p>
    <w:p>
      <w:pPr>
        <w:numPr>
          <w:ilvl w:val="0"/>
          <w:numId w:val="1017"/>
        </w:numPr>
        <w:pStyle w:val="Compact"/>
      </w:pPr>
      <m:oMath>
        <m:sSub>
          <m:e>
            <m:r>
              <m:t>α</m:t>
            </m:r>
          </m:e>
          <m:sub>
            <m:r>
              <m:t>b</m:t>
            </m:r>
            <m:r>
              <m:t>k</m:t>
            </m:r>
          </m:sub>
        </m:sSub>
      </m:oMath>
      <w:r>
        <w:t xml:space="preserve">: The random effect of cluster</w:t>
      </w:r>
      <w:r>
        <w:t xml:space="preserve"> </w:t>
      </w:r>
      <m:oMath>
        <m:r>
          <m:t>k</m:t>
        </m:r>
      </m:oMath>
      <w:r>
        <w:t xml:space="preserve"> </w:t>
      </w:r>
      <w:r>
        <w:t xml:space="preserve">in batch</w:t>
      </w:r>
      <w:r>
        <w:t xml:space="preserve"> </w:t>
      </w:r>
      <m:oMath>
        <m:r>
          <m:t>b</m:t>
        </m:r>
      </m:oMath>
      <w:r>
        <w:t xml:space="preserve">, capturing variability in adherence across clusters (hospitals).</w:t>
      </w:r>
    </w:p>
    <w:p>
      <w:pPr>
        <w:numPr>
          <w:ilvl w:val="0"/>
          <w:numId w:val="1017"/>
        </w:numPr>
        <w:pStyle w:val="Compact"/>
      </w:pPr>
      <m:oMath>
        <m:sSub>
          <m:e>
            <m:r>
              <m:t>γ</m:t>
            </m:r>
          </m:e>
          <m:sub>
            <m:r>
              <m:t>b</m:t>
            </m:r>
            <m:r>
              <m:t>k</m:t>
            </m:r>
            <m:r>
              <m:t>t</m:t>
            </m:r>
          </m:sub>
        </m:sSub>
      </m:oMath>
      <w:r>
        <w:t xml:space="preserve">: The random effect of cluster</w:t>
      </w:r>
      <w:r>
        <w:t xml:space="preserve"> </w:t>
      </w:r>
      <m:oMath>
        <m:r>
          <m:t>k</m:t>
        </m:r>
      </m:oMath>
      <w:r>
        <w:t xml:space="preserve"> </w:t>
      </w:r>
      <w:r>
        <w:t xml:space="preserve">in period</w:t>
      </w:r>
      <w:r>
        <w:t xml:space="preserve"> </w:t>
      </w:r>
      <m:oMath>
        <m:r>
          <m:t>t</m:t>
        </m:r>
      </m:oMath>
      <w:r>
        <w:t xml:space="preserve"> </w:t>
      </w:r>
      <w:r>
        <w:t xml:space="preserve">within batch</w:t>
      </w:r>
      <w:r>
        <w:t xml:space="preserve"> </w:t>
      </w:r>
      <m:oMath>
        <m:r>
          <m:t>b</m:t>
        </m:r>
      </m:oMath>
      <w:r>
        <w:t xml:space="preserve">, accounting for within-cluster variability across time periods and batches.</w:t>
      </w:r>
    </w:p>
    <w:bookmarkEnd w:id="115"/>
    <w:bookmarkEnd w:id="116"/>
    <w:bookmarkEnd w:id="117"/>
    <w:bookmarkStart w:id="132" w:name="references"/>
    <w:p>
      <w:pPr>
        <w:pStyle w:val="Heading1"/>
      </w:pPr>
      <w:r>
        <w:t xml:space="preserve">6. References</w:t>
      </w:r>
    </w:p>
    <w:bookmarkStart w:id="131" w:name="refs"/>
    <w:bookmarkStart w:id="118" w:name="ref-Kasza2022"/>
    <w:p>
      <w:pPr>
        <w:pStyle w:val="Bibliography"/>
      </w:pPr>
      <w:r>
        <w:t xml:space="preserve">1.</w:t>
      </w:r>
      <w:r>
        <w:t xml:space="preserve"> </w:t>
      </w:r>
      <w:r>
        <w:t xml:space="preserve">	</w:t>
      </w:r>
      <w:r>
        <w:t xml:space="preserve">Kasza, J.</w:t>
      </w:r>
      <w:r>
        <w:t xml:space="preserve"> </w:t>
      </w:r>
      <w:r>
        <w:rPr>
          <w:iCs/>
          <w:i/>
        </w:rPr>
        <w:t xml:space="preserve">et al.</w:t>
      </w:r>
      <w:r>
        <w:t xml:space="preserve"> The batched stepped wedge design: A design robust to delays in cluster recruitment.</w:t>
      </w:r>
      <w:r>
        <w:t xml:space="preserve"> </w:t>
      </w:r>
      <w:r>
        <w:rPr>
          <w:iCs/>
          <w:i/>
        </w:rPr>
        <w:t xml:space="preserve">Stat Med</w:t>
      </w:r>
      <w:r>
        <w:t xml:space="preserve"> </w:t>
      </w:r>
      <w:r>
        <w:rPr>
          <w:bCs/>
          <w:b/>
        </w:rPr>
        <w:t xml:space="preserve">41</w:t>
      </w:r>
      <w:r>
        <w:t xml:space="preserve">, 3627–3641 (2022).</w:t>
      </w:r>
    </w:p>
    <w:bookmarkEnd w:id="118"/>
    <w:bookmarkStart w:id="119" w:name="ref-grantham_staircase_2024"/>
    <w:p>
      <w:pPr>
        <w:pStyle w:val="Bibliography"/>
      </w:pPr>
      <w:r>
        <w:t xml:space="preserve">2.</w:t>
      </w:r>
      <w:r>
        <w:t xml:space="preserve"> </w:t>
      </w:r>
      <w:r>
        <w:t xml:space="preserve">	</w:t>
      </w:r>
      <w:r>
        <w:t xml:space="preserve">Grantham, K. L.</w:t>
      </w:r>
      <w:r>
        <w:t xml:space="preserve"> </w:t>
      </w:r>
      <w:r>
        <w:rPr>
          <w:iCs/>
          <w:i/>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Cs/>
          <w:i/>
        </w:rPr>
        <w:t xml:space="preserve">Statistical Methods in Medical Research</w:t>
      </w:r>
      <w:r>
        <w:t xml:space="preserve"> </w:t>
      </w:r>
      <w:r>
        <w:rPr>
          <w:bCs/>
          <w:b/>
        </w:rPr>
        <w:t xml:space="preserve">33</w:t>
      </w:r>
      <w:r>
        <w:t xml:space="preserve">, 24–41 (2024).</w:t>
      </w:r>
    </w:p>
    <w:bookmarkEnd w:id="119"/>
    <w:bookmarkStart w:id="120" w:name="ref-aukstakalnis_impact_2024"/>
    <w:p>
      <w:pPr>
        <w:pStyle w:val="Bibliography"/>
      </w:pPr>
      <w:r>
        <w:t xml:space="preserve">3.</w:t>
      </w:r>
      <w:r>
        <w:t xml:space="preserve"> </w:t>
      </w:r>
      <w:r>
        <w:t xml:space="preserve">	</w:t>
      </w:r>
      <w:r>
        <w:t xml:space="preserve">Aukstakalnis, V.</w:t>
      </w:r>
      <w:r>
        <w:t xml:space="preserve"> </w:t>
      </w:r>
      <w:r>
        <w:rPr>
          <w:iCs/>
          <w:i/>
        </w:rPr>
        <w:t xml:space="preserve">et al.</w:t>
      </w:r>
      <w:r>
        <w:t xml:space="preserve"> Impact of video recordings review with structured debriefings on trauma team performance: A prospective observational cohort study.</w:t>
      </w:r>
      <w:r>
        <w:t xml:space="preserve"> </w:t>
      </w:r>
      <w:r>
        <w:rPr>
          <w:iCs/>
          <w:i/>
        </w:rPr>
        <w:t xml:space="preserve">European Journal of Trauma and Emergency Surgery: Official Publication of the European Trauma Society</w:t>
      </w:r>
      <w:r>
        <w:t xml:space="preserve"> </w:t>
      </w:r>
      <w:r>
        <w:t xml:space="preserve">(2024).</w:t>
      </w:r>
    </w:p>
    <w:bookmarkEnd w:id="120"/>
    <w:bookmarkStart w:id="121" w:name="ref-Hemming2020Feb"/>
    <w:p>
      <w:pPr>
        <w:pStyle w:val="Bibliography"/>
      </w:pPr>
      <w:r>
        <w:t xml:space="preserve">4.</w:t>
      </w:r>
      <w:r>
        <w:t xml:space="preserve"> </w:t>
      </w:r>
      <w:r>
        <w:t xml:space="preserve">	</w:t>
      </w:r>
      <w:r>
        <w:t xml:space="preserve">Hemming, K.</w:t>
      </w:r>
      <w:r>
        <w:t xml:space="preserve"> </w:t>
      </w:r>
      <w:r>
        <w:rPr>
          <w:iCs/>
          <w:i/>
        </w:rPr>
        <w:t xml:space="preserve">et al.</w:t>
      </w:r>
      <w:r>
        <w:t xml:space="preserve"> A tutorial on sample size calculation for multiple-period cluster randomized parallel, cross-over and stepped-wedge trials using the shiny CRT calculator.</w:t>
      </w:r>
      <w:r>
        <w:t xml:space="preserve"> </w:t>
      </w:r>
      <w:r>
        <w:rPr>
          <w:iCs/>
          <w:i/>
        </w:rPr>
        <w:t xml:space="preserve">Int J Epidemiol</w:t>
      </w:r>
      <w:r>
        <w:t xml:space="preserve"> </w:t>
      </w:r>
      <w:r>
        <w:rPr>
          <w:bCs/>
          <w:b/>
        </w:rPr>
        <w:t xml:space="preserve">49</w:t>
      </w:r>
      <w:r>
        <w:t xml:space="preserve">, 979–995 (2020).</w:t>
      </w:r>
    </w:p>
    <w:bookmarkEnd w:id="121"/>
    <w:bookmarkStart w:id="122" w:name="ref-Campbell2005"/>
    <w:p>
      <w:pPr>
        <w:pStyle w:val="Bibliography"/>
      </w:pPr>
      <w:r>
        <w:t xml:space="preserve">5.</w:t>
      </w:r>
      <w:r>
        <w:t xml:space="preserve"> </w:t>
      </w:r>
      <w:r>
        <w:t xml:space="preserve">	</w:t>
      </w:r>
      <w:r>
        <w:t xml:space="preserve">Campbell, M. K.</w:t>
      </w:r>
      <w:r>
        <w:t xml:space="preserve"> </w:t>
      </w:r>
      <w:r>
        <w:rPr>
          <w:iCs/>
          <w:i/>
        </w:rPr>
        <w:t xml:space="preserve">et al.</w:t>
      </w:r>
      <w:r>
        <w:t xml:space="preserve"> Determinants of the intracluster correlation coefficient in cluster randomized trials: The case of implementation research.</w:t>
      </w:r>
      <w:r>
        <w:t xml:space="preserve"> </w:t>
      </w:r>
      <w:r>
        <w:rPr>
          <w:iCs/>
          <w:i/>
        </w:rPr>
        <w:t xml:space="preserve">Clinical Trials</w:t>
      </w:r>
      <w:r>
        <w:t xml:space="preserve"> </w:t>
      </w:r>
      <w:r>
        <w:rPr>
          <w:bCs/>
          <w:b/>
        </w:rPr>
        <w:t xml:space="preserve">2</w:t>
      </w:r>
      <w:r>
        <w:t xml:space="preserve">, 99–107 (2005).</w:t>
      </w:r>
    </w:p>
    <w:bookmarkEnd w:id="122"/>
    <w:bookmarkStart w:id="123" w:name="ref-Eldridge2015"/>
    <w:p>
      <w:pPr>
        <w:pStyle w:val="Bibliography"/>
      </w:pPr>
      <w:r>
        <w:t xml:space="preserve">6.</w:t>
      </w:r>
      <w:r>
        <w:t xml:space="preserve"> </w:t>
      </w:r>
      <w:r>
        <w:t xml:space="preserve">	</w:t>
      </w:r>
      <w:r>
        <w:t xml:space="preserve">Eldridge, S. M.</w:t>
      </w:r>
      <w:r>
        <w:t xml:space="preserve"> </w:t>
      </w:r>
      <w:r>
        <w:rPr>
          <w:iCs/>
          <w:i/>
        </w:rPr>
        <w:t xml:space="preserve">et al.</w:t>
      </w:r>
      <w:r>
        <w:t xml:space="preserve"> How big should the pilot study for my cluster randomised trial be?</w:t>
      </w:r>
      <w:r>
        <w:t xml:space="preserve"> </w:t>
      </w:r>
      <w:r>
        <w:rPr>
          <w:iCs/>
          <w:i/>
        </w:rPr>
        <w:t xml:space="preserve">Stat Methods Med Res</w:t>
      </w:r>
      <w:r>
        <w:t xml:space="preserve"> </w:t>
      </w:r>
      <w:r>
        <w:rPr>
          <w:bCs/>
          <w:b/>
        </w:rPr>
        <w:t xml:space="preserve">25</w:t>
      </w:r>
      <w:r>
        <w:t xml:space="preserve">, 1039–1056 (2015).</w:t>
      </w:r>
    </w:p>
    <w:bookmarkEnd w:id="123"/>
    <w:bookmarkStart w:id="124" w:name="ref-Martin2016"/>
    <w:p>
      <w:pPr>
        <w:pStyle w:val="Bibliography"/>
      </w:pPr>
      <w:r>
        <w:t xml:space="preserve">7.</w:t>
      </w:r>
      <w:r>
        <w:t xml:space="preserve"> </w:t>
      </w:r>
      <w:r>
        <w:t xml:space="preserve">	</w:t>
      </w:r>
      <w:r>
        <w:t xml:space="preserve">Martin, J.</w:t>
      </w:r>
      <w:r>
        <w:t xml:space="preserve"> </w:t>
      </w:r>
      <w:r>
        <w:rPr>
          <w:iCs/>
          <w:i/>
        </w:rPr>
        <w:t xml:space="preserve">et al.</w:t>
      </w:r>
      <w:r>
        <w:t xml:space="preserve"> Intra-cluster and inter-period correlation coefficients for cross-sectional cluster randomised controlled trials for type-2 diabetes in UK primary care.</w:t>
      </w:r>
      <w:r>
        <w:t xml:space="preserve"> </w:t>
      </w:r>
      <w:r>
        <w:rPr>
          <w:iCs/>
          <w:i/>
        </w:rPr>
        <w:t xml:space="preserve">Trials</w:t>
      </w:r>
      <w:r>
        <w:t xml:space="preserve"> </w:t>
      </w:r>
      <w:r>
        <w:rPr>
          <w:bCs/>
          <w:b/>
        </w:rPr>
        <w:t xml:space="preserve">17</w:t>
      </w:r>
      <w:r>
        <w:t xml:space="preserve">, (2016).</w:t>
      </w:r>
    </w:p>
    <w:bookmarkEnd w:id="124"/>
    <w:bookmarkStart w:id="125" w:name="ref-Korevaar2021"/>
    <w:p>
      <w:pPr>
        <w:pStyle w:val="Bibliography"/>
      </w:pPr>
      <w:r>
        <w:t xml:space="preserve">8.</w:t>
      </w:r>
      <w:r>
        <w:t xml:space="preserve"> </w:t>
      </w:r>
      <w:r>
        <w:t xml:space="preserve">	</w:t>
      </w:r>
      <w:r>
        <w:t xml:space="preserve">Korevaar, E.</w:t>
      </w:r>
      <w:r>
        <w:t xml:space="preserve"> </w:t>
      </w:r>
      <w:r>
        <w:rPr>
          <w:iCs/>
          <w:i/>
        </w:rPr>
        <w:t xml:space="preserve">et al.</w:t>
      </w:r>
      <w:r>
        <w:t xml:space="preserve"> Intra-cluster correlations from the CLustered OUtcome dataset bank to inform the design of longitudinal cluster trials.</w:t>
      </w:r>
      <w:r>
        <w:t xml:space="preserve"> </w:t>
      </w:r>
      <w:r>
        <w:rPr>
          <w:iCs/>
          <w:i/>
        </w:rPr>
        <w:t xml:space="preserve">Clinical Trials</w:t>
      </w:r>
      <w:r>
        <w:t xml:space="preserve"> </w:t>
      </w:r>
      <w:r>
        <w:rPr>
          <w:bCs/>
          <w:b/>
        </w:rPr>
        <w:t xml:space="preserve">18</w:t>
      </w:r>
      <w:r>
        <w:t xml:space="preserve">, 529–540 (2021).</w:t>
      </w:r>
    </w:p>
    <w:bookmarkEnd w:id="125"/>
    <w:bookmarkStart w:id="126" w:name="ref-R"/>
    <w:p>
      <w:pPr>
        <w:pStyle w:val="Bibliography"/>
      </w:pPr>
      <w:r>
        <w:t xml:space="preserve">9.</w:t>
      </w:r>
      <w:r>
        <w:t xml:space="preserve"> </w:t>
      </w:r>
      <w:r>
        <w:t xml:space="preserve">	</w:t>
      </w:r>
      <w:r>
        <w:t xml:space="preserve">R Core Team.</w:t>
      </w:r>
      <w:r>
        <w:t xml:space="preserve"> </w:t>
      </w:r>
      <w:r>
        <w:rPr>
          <w:iCs/>
          <w:i/>
        </w:rPr>
        <w:t xml:space="preserve">R: A language and environment for statistical computing</w:t>
      </w:r>
      <w:r>
        <w:t xml:space="preserve">. (R Foundation for Statistical Computing, 2023).</w:t>
      </w:r>
    </w:p>
    <w:bookmarkEnd w:id="126"/>
    <w:bookmarkStart w:id="127" w:name="ref-Hemming2018"/>
    <w:p>
      <w:pPr>
        <w:pStyle w:val="Bibliography"/>
      </w:pPr>
      <w:r>
        <w:t xml:space="preserve">10.</w:t>
      </w:r>
      <w:r>
        <w:t xml:space="preserve"> </w:t>
      </w:r>
      <w:r>
        <w:t xml:space="preserve">	</w:t>
      </w:r>
      <w:r>
        <w:t xml:space="preserve">Hemming, K.</w:t>
      </w:r>
      <w:r>
        <w:t xml:space="preserve"> </w:t>
      </w:r>
      <w:r>
        <w:rPr>
          <w:iCs/>
          <w:i/>
        </w:rPr>
        <w:t xml:space="preserve">et al.</w:t>
      </w:r>
      <w:r>
        <w:t xml:space="preserve"> Reporting of stepped wedge cluster randomised trials: Extension of the CONSORT 2010 statement with explanation and elaboration.</w:t>
      </w:r>
      <w:r>
        <w:t xml:space="preserve"> </w:t>
      </w:r>
      <w:r>
        <w:rPr>
          <w:iCs/>
          <w:i/>
        </w:rPr>
        <w:t xml:space="preserve">BMJ</w:t>
      </w:r>
      <w:r>
        <w:t xml:space="preserve"> </w:t>
      </w:r>
      <w:r>
        <w:t xml:space="preserve">k1614 (2018).</w:t>
      </w:r>
    </w:p>
    <w:bookmarkEnd w:id="127"/>
    <w:bookmarkStart w:id="128" w:name="ref-kenny_analysis_2022"/>
    <w:p>
      <w:pPr>
        <w:pStyle w:val="Bibliography"/>
      </w:pPr>
      <w:r>
        <w:t xml:space="preserve">11.</w:t>
      </w:r>
      <w:r>
        <w:t xml:space="preserve"> </w:t>
      </w:r>
      <w:r>
        <w:t xml:space="preserve">	</w:t>
      </w:r>
      <w:r>
        <w:t xml:space="preserve">Kenny, A.</w:t>
      </w:r>
      <w:r>
        <w:t xml:space="preserve"> </w:t>
      </w:r>
      <w:r>
        <w:rPr>
          <w:iCs/>
          <w:i/>
        </w:rPr>
        <w:t xml:space="preserve">et al.</w:t>
      </w:r>
      <w:r>
        <w:t xml:space="preserve"> Analysis of stepped wedge cluster randomized trials in the presence of a time-varying treatment effect.</w:t>
      </w:r>
      <w:r>
        <w:t xml:space="preserve"> </w:t>
      </w:r>
      <w:r>
        <w:rPr>
          <w:iCs/>
          <w:i/>
        </w:rPr>
        <w:t xml:space="preserve">Statistics in medicine</w:t>
      </w:r>
      <w:r>
        <w:t xml:space="preserve"> </w:t>
      </w:r>
      <w:r>
        <w:t xml:space="preserve">10.1002/sim.9511 (2022).</w:t>
      </w:r>
    </w:p>
    <w:bookmarkEnd w:id="128"/>
    <w:bookmarkStart w:id="129" w:name="ref-Diaz2021"/>
    <w:p>
      <w:pPr>
        <w:pStyle w:val="Bibliography"/>
      </w:pPr>
      <w:r>
        <w:t xml:space="preserve">12.</w:t>
      </w:r>
      <w:r>
        <w:t xml:space="preserve"> </w:t>
      </w:r>
      <w:r>
        <w:t xml:space="preserve">	</w:t>
      </w:r>
      <w:r>
        <w:t xml:space="preserve">Diaz, T.</w:t>
      </w:r>
      <w:r>
        <w:t xml:space="preserve"> </w:t>
      </w:r>
      <w:r>
        <w:rPr>
          <w:iCs/>
          <w:i/>
        </w:rPr>
        <w:t xml:space="preserve">et al.</w:t>
      </w:r>
      <w:r>
        <w:t xml:space="preserve"> A call for standardised age-disaggregated health data.</w:t>
      </w:r>
      <w:r>
        <w:t xml:space="preserve"> </w:t>
      </w:r>
      <w:r>
        <w:rPr>
          <w:iCs/>
          <w:i/>
        </w:rPr>
        <w:t xml:space="preserve">The Lancet Healthy Longevity</w:t>
      </w:r>
      <w:r>
        <w:t xml:space="preserve"> </w:t>
      </w:r>
      <w:r>
        <w:rPr>
          <w:bCs/>
          <w:b/>
        </w:rPr>
        <w:t xml:space="preserve">2</w:t>
      </w:r>
      <w:r>
        <w:t xml:space="preserve">, e436–e443 (2021).</w:t>
      </w:r>
    </w:p>
    <w:bookmarkEnd w:id="129"/>
    <w:bookmarkStart w:id="130" w:name="ref-ustun_measuring_2010"/>
    <w:p>
      <w:pPr>
        <w:pStyle w:val="Bibliography"/>
      </w:pPr>
      <w:r>
        <w:t xml:space="preserve">13.</w:t>
      </w:r>
      <w:r>
        <w:t xml:space="preserve"> </w:t>
      </w:r>
      <w:r>
        <w:t xml:space="preserve">	</w:t>
      </w:r>
      <w:r>
        <w:t xml:space="preserve">Ustun, T. B.</w:t>
      </w:r>
      <w:r>
        <w:t xml:space="preserve"> </w:t>
      </w:r>
      <w:r>
        <w:rPr>
          <w:iCs/>
          <w:i/>
        </w:rPr>
        <w:t xml:space="preserve">et al.</w:t>
      </w:r>
      <w:r>
        <w:t xml:space="preserve"> </w:t>
      </w:r>
      <w:r>
        <w:rPr>
          <w:iCs/>
          <w:i/>
        </w:rPr>
        <w:t xml:space="preserve">Measuring</w:t>
      </w:r>
      <w:r>
        <w:rPr>
          <w:iCs/>
          <w:i/>
        </w:rPr>
        <w:t xml:space="preserve"> </w:t>
      </w:r>
      <w:r>
        <w:rPr>
          <w:iCs/>
          <w:i/>
        </w:rPr>
        <w:t xml:space="preserve">Health</w:t>
      </w:r>
      <w:r>
        <w:rPr>
          <w:iCs/>
          <w:i/>
        </w:rPr>
        <w:t xml:space="preserve"> </w:t>
      </w:r>
      <w:r>
        <w:rPr>
          <w:iCs/>
          <w:i/>
        </w:rPr>
        <w:t xml:space="preserve">and</w:t>
      </w:r>
      <w:r>
        <w:rPr>
          <w:iCs/>
          <w:i/>
        </w:rPr>
        <w:t xml:space="preserve"> </w:t>
      </w:r>
      <w:r>
        <w:rPr>
          <w:iCs/>
          <w:i/>
        </w:rPr>
        <w:t xml:space="preserve">Disability</w:t>
      </w:r>
      <w:r>
        <w:rPr>
          <w:iCs/>
          <w:i/>
        </w:rPr>
        <w:t xml:space="preserve">:</w:t>
      </w:r>
      <w:r>
        <w:rPr>
          <w:iCs/>
          <w:i/>
        </w:rPr>
        <w:t xml:space="preserve"> </w:t>
      </w:r>
      <w:r>
        <w:rPr>
          <w:iCs/>
          <w:i/>
        </w:rPr>
        <w:t xml:space="preserve">Manual</w:t>
      </w:r>
      <w:r>
        <w:rPr>
          <w:iCs/>
          <w:i/>
        </w:rPr>
        <w:t xml:space="preserve"> </w:t>
      </w:r>
      <w:r>
        <w:rPr>
          <w:iCs/>
          <w:i/>
        </w:rPr>
        <w:t xml:space="preserve">for</w:t>
      </w:r>
      <w:r>
        <w:rPr>
          <w:iCs/>
          <w:i/>
        </w:rPr>
        <w:t xml:space="preserve"> </w:t>
      </w:r>
      <w:r>
        <w:rPr>
          <w:iCs/>
          <w:i/>
        </w:rPr>
        <w:t xml:space="preserve">WHO</w:t>
      </w:r>
      <w:r>
        <w:rPr>
          <w:iCs/>
          <w:i/>
        </w:rPr>
        <w:t xml:space="preserve"> </w:t>
      </w:r>
      <w:r>
        <w:rPr>
          <w:iCs/>
          <w:i/>
        </w:rPr>
        <w:t xml:space="preserve">Disability</w:t>
      </w:r>
      <w:r>
        <w:rPr>
          <w:iCs/>
          <w:i/>
        </w:rPr>
        <w:t xml:space="preserve"> </w:t>
      </w:r>
      <w:r>
        <w:rPr>
          <w:iCs/>
          <w:i/>
        </w:rPr>
        <w:t xml:space="preserve">Assessment</w:t>
      </w:r>
      <w:r>
        <w:rPr>
          <w:iCs/>
          <w:i/>
        </w:rPr>
        <w:t xml:space="preserve"> </w:t>
      </w:r>
      <w:r>
        <w:rPr>
          <w:iCs/>
          <w:i/>
        </w:rPr>
        <w:t xml:space="preserve">Schedule</w:t>
      </w:r>
      <w:r>
        <w:rPr>
          <w:iCs/>
          <w:i/>
        </w:rPr>
        <w:t xml:space="preserve"> </w:t>
      </w:r>
      <w:r>
        <w:rPr>
          <w:iCs/>
          <w:i/>
        </w:rPr>
        <w:t xml:space="preserve">(</w:t>
      </w:r>
      <w:r>
        <w:rPr>
          <w:iCs/>
          <w:i/>
        </w:rPr>
        <w:t xml:space="preserve">WHODAS</w:t>
      </w:r>
      <w:r>
        <w:rPr>
          <w:iCs/>
          <w:i/>
        </w:rPr>
        <w:t xml:space="preserve"> </w:t>
      </w:r>
      <w:r>
        <w:rPr>
          <w:iCs/>
          <w:i/>
        </w:rPr>
        <w:t xml:space="preserve">2.0)</w:t>
      </w:r>
      <w:r>
        <w:t xml:space="preserve">. (World Health Organization, 2010).</w:t>
      </w:r>
    </w:p>
    <w:bookmarkEnd w:id="130"/>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rPr>
          <w:bCs/>
          <w:b/>
        </w:rPr>
        <w:t xml:space="preserve">TODO:</w:t>
      </w:r>
      <w:r>
        <w:t xml:space="preserve"> </w:t>
      </w:r>
      <w:r>
        <w:t xml:space="preserve">James gets back with a short snippet with more details on how the randomisation will be done.</w:t>
      </w:r>
    </w:p>
  </w:footnote>
  <w:footnote w:id="80">
    <w:p>
      <w:pPr>
        <w:pStyle w:val="FootnoteText"/>
      </w:pPr>
      <w:r>
        <w:rPr>
          <w:rStyle w:val="FootnoteReference"/>
        </w:rPr>
        <w:footnoteRef/>
      </w:r>
      <w:r>
        <w:t xml:space="preserve"> </w:t>
      </w:r>
      <w:r>
        <w:rPr>
          <w:bCs/>
          <w:b/>
        </w:rPr>
        <w:t xml:space="preserve">Question:</w:t>
      </w:r>
      <w:r>
        <w:t xml:space="preserve"> </w:t>
      </w:r>
      <w:r>
        <w:t xml:space="preserve">Should we adjust for calendar time because the last batch will be two years later than the first batch?</w:t>
      </w:r>
    </w:p>
  </w:footnote>
  <w:footnote w:id="81">
    <w:p>
      <w:pPr>
        <w:pStyle w:val="FootnoteText"/>
      </w:pPr>
      <w:r>
        <w:rPr>
          <w:rStyle w:val="FootnoteReference"/>
        </w:rPr>
        <w:footnoteRef/>
      </w:r>
      <w:r>
        <w:t xml:space="preserve"> </w:t>
      </w:r>
      <w:r>
        <w:rPr>
          <w:bCs/>
          <w:b/>
        </w:rPr>
        <w:t xml:space="preserve">Question:</w:t>
      </w:r>
      <w:r>
        <w:t xml:space="preserve"> </w:t>
      </w:r>
      <w:r>
        <w:t xml:space="preserve">Just a thought: keep in mind the complexity of the random effects structure; if it leads to convergence problems or overfitting, should we consider simplifying the random effects?</w:t>
      </w:r>
    </w:p>
  </w:footnote>
  <w:footnote w:id="83">
    <w:p>
      <w:pPr>
        <w:pStyle w:val="FootnoteText"/>
      </w:pPr>
      <w:r>
        <w:rPr>
          <w:rStyle w:val="FootnoteReference"/>
        </w:rPr>
        <w:footnoteRef/>
      </w:r>
      <w:r>
        <w:t xml:space="preserve"> </w:t>
      </w:r>
      <w:r>
        <w:rPr>
          <w:bCs/>
          <w:b/>
        </w:rPr>
        <w:t xml:space="preserve">Question:</w:t>
      </w:r>
      <w:r>
        <w:t xml:space="preserve"> </w:t>
      </w:r>
      <w:r>
        <w:t xml:space="preserve">The model will estimate some 78 parameters. Is this a problem considering the low number of participants per period?</w:t>
      </w:r>
    </w:p>
  </w:footnote>
  <w:footnote w:id="98">
    <w:p>
      <w:pPr>
        <w:pStyle w:val="FootnoteText"/>
      </w:pPr>
      <w:r>
        <w:rPr>
          <w:rStyle w:val="FootnoteReference"/>
        </w:rPr>
        <w:footnoteRef/>
      </w:r>
      <w:r>
        <w:t xml:space="preserve"> </w:t>
      </w:r>
      <w:r>
        <w:rPr>
          <w:bCs/>
          <w:b/>
        </w:rPr>
        <w:t xml:space="preserve">Questions:</w:t>
      </w:r>
      <w:r>
        <w:t xml:space="preserve"> </w:t>
      </w:r>
      <w:r>
        <w:t xml:space="preserve">1. Should we adjust for calendar time because the last batch will be two years later than the first batch? 2. Should we add it as covariate in the list above? 3. Should it be continuous (e.g., months since the study started) or categorical calendar time (if you expect non-linear trends or stepwise changes over years)? 4. Should we analyse Time Since Admission? Depending on the nature of the trauma, the time since patient admission might also influence outcomes, especially if the timing of interventions or care decisions plays a critical role. Eg. time from admission to surgery.</w:t>
      </w:r>
    </w:p>
  </w:footnote>
  <w:footnote w:id="100">
    <w:p>
      <w:pPr>
        <w:pStyle w:val="FootnoteText"/>
      </w:pPr>
      <w:r>
        <w:rPr>
          <w:rStyle w:val="FootnoteReference"/>
        </w:rPr>
        <w:footnoteRef/>
      </w:r>
      <w:r>
        <w:t xml:space="preserve"> </w:t>
      </w:r>
      <w:r>
        <w:rPr>
          <w:bCs/>
          <w:b/>
        </w:rPr>
        <w:t xml:space="preserve">Question:</w:t>
      </w:r>
      <w:r>
        <w:t xml:space="preserve"> </w:t>
      </w:r>
      <w:r>
        <w:t xml:space="preserve">Are we exploring too many subgroups?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Version 0.5.0, 2025-10-14</dc:creator>
  <cp:keywords/>
  <dcterms:created xsi:type="dcterms:W3CDTF">2025-10-14T04:58:04Z</dcterms:created>
  <dcterms:modified xsi:type="dcterms:W3CDTF">2025-10-14T04:58:04Z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sl">
    <vt:lpwstr>nature.csl</vt:lpwstr>
  </property>
  <property fmtid="{D5CDD505-2E9C-101B-9397-08002B2CF9AE}" pid="8" name="fig-caption">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number-depth">
    <vt:lpwstr>3</vt:lpwstr>
  </property>
  <property fmtid="{D5CDD505-2E9C-101B-9397-08002B2CF9AE}" pid="15" name="subtitle">
    <vt:lpwstr>ADVANCE TRAUMAEffects of Advanced Trauma Life Support® Training Compared to Standard Care on Adult Trauma Patient Outcomes: A Cluster Randomised Trial</vt:lpwstr>
  </property>
  <property fmtid="{D5CDD505-2E9C-101B-9397-08002B2CF9AE}" pid="16" name="titlepage-theme">
    <vt:lpwstr/>
  </property>
  <property fmtid="{D5CDD505-2E9C-101B-9397-08002B2CF9AE}" pid="17" name="toc-title">
    <vt:lpwstr>Table of contents</vt:lpwstr>
  </property>
</Properties>
</file>