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23.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19"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 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 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6" w:name="outcomes"/>
    <w:p>
      <w:pPr>
        <w:pStyle w:val="Heading2"/>
      </w:pPr>
      <w:r>
        <w:t xml:space="preserve">5.3 Outcomes</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5"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4"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pPr>
        <w:pStyle w:val="FirstParagraph"/>
      </w:pPr>
      <w:r>
        <w:t xml:space="preserve">A summary of all outcomes, populations, effect measures, and handling of intercurrent events is provided in</w:t>
      </w:r>
      <w:r>
        <w:t xml:space="preserve"> </w:t>
      </w:r>
      <w:hyperlink w:anchor="tbl-outcomes-population">
        <w:r>
          <w:rPr>
            <w:rStyle w:val="Hyperlink"/>
          </w:rPr>
          <w:t xml:space="preserve">Table 1</w:t>
        </w:r>
      </w:hyperlink>
      <w:r>
        <w:t xml:space="preserve"> </w:t>
      </w:r>
      <w:r>
        <w:t xml:space="preserve">and</w:t>
      </w:r>
      <w:r>
        <w:t xml:space="preserve"> </w:t>
      </w:r>
      <w:hyperlink w:anchor="tbl-outcomes-analysi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outcomes-population"/>
          <w:p>
            <w:pPr>
              <w:jc w:val="center"/>
            </w:pPr>
            <w:pPr>
              <w:jc w:val="left"/>
              <w:spacing w:before="200"/>
              <w:pStyle w:val="ImageCaption"/>
            </w:pPr>
            <w:r>
              <w:t xml:space="preserve">Table 1: Summary of outcomes, design components, data types, and target populations</w:t>
            </w:r>
          </w:p>
          <w:tbl>
            <w:tblPr>
              <w:tblStyle w:val="Table"/>
              <w:tblW w:type="pct" w:w="5000"/>
              <w:tblLayout w:type="fixed"/>
              <w:tblLook w:firstRow="1" w:lastRow="0" w:firstColumn="0" w:lastColumn="0" w:noHBand="0" w:noVBand="0" w:val="0020"/>
            </w:tblPr>
            <w:tblGrid>
              <w:gridCol w:w="2180"/>
              <w:gridCol w:w="609"/>
              <w:gridCol w:w="1571"/>
              <w:gridCol w:w="3559"/>
            </w:tblGrid>
            <w:tr>
              <w:trPr>
                <w:tblHeader w:val="on"/>
              </w:trPr>
              <w:tc>
                <w:tcPr/>
                <w:p>
                  <w:pPr>
                    <w:pStyle w:val="Compact"/>
                    <w:jc w:val="left"/>
                    <w:jc w:val="center"/>
                  </w:pPr>
                  <w:r>
                    <w:t xml:space="preserve">Outcome</w:t>
                  </w:r>
                </w:p>
              </w:tc>
              <w:tc>
                <w:tcPr/>
                <w:p>
                  <w:pPr>
                    <w:pStyle w:val="Compact"/>
                    <w:jc w:val="left"/>
                    <w:jc w:val="center"/>
                  </w:pPr>
                  <w:r>
                    <w:t xml:space="preserve">Design component</w:t>
                  </w:r>
                </w:p>
              </w:tc>
              <w:tc>
                <w:tcPr/>
                <w:p>
                  <w:pPr>
                    <w:pStyle w:val="Compact"/>
                    <w:jc w:val="left"/>
                    <w:jc w:val="center"/>
                  </w:pPr>
                  <w:r>
                    <w:t xml:space="preserve">Data type</w:t>
                  </w:r>
                </w:p>
              </w:tc>
              <w:tc>
                <w:tcPr/>
                <w:p>
                  <w:pPr>
                    <w:pStyle w:val="Compact"/>
                    <w:jc w:val="left"/>
                    <w:jc w:val="center"/>
                  </w:pPr>
                  <w:r>
                    <w:t xml:space="preserve">Target population</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24 hours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 months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Quality of life within 7 days of discharge</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Quality of life 30 days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Quality of life 3 months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 months within the nested staircase sample</w:t>
                  </w:r>
                </w:p>
              </w:tc>
            </w:tr>
            <w:tr>
              <w:tc>
                <w:tcPr/>
                <w:p>
                  <w:pPr>
                    <w:pStyle w:val="Compact"/>
                    <w:jc w:val="left"/>
                    <w:jc w:val="center"/>
                  </w:pPr>
                  <w:r>
                    <w:t xml:space="preserve">Disability within 7 days of discharge</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Disability 30 days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Disability 3 months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 months within the nested staircase sample</w:t>
                  </w:r>
                </w:p>
              </w:tc>
            </w:tr>
            <w:tr>
              <w:tc>
                <w:tcPr/>
                <w:p>
                  <w:pPr>
                    <w:pStyle w:val="Compact"/>
                    <w:jc w:val="left"/>
                    <w:jc w:val="center"/>
                  </w:pPr>
                  <w:r>
                    <w:t xml:space="preserve">Return to work 30 days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30 days for whom return to work is relevant</w:t>
                  </w:r>
                </w:p>
              </w:tc>
            </w:tr>
            <w:tr>
              <w:tc>
                <w:tcPr/>
                <w:p>
                  <w:pPr>
                    <w:pStyle w:val="Compact"/>
                    <w:jc w:val="left"/>
                    <w:jc w:val="center"/>
                  </w:pPr>
                  <w:r>
                    <w:t xml:space="preserve">Return to work 3 months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 months for whom return to work is relevant</w:t>
                  </w:r>
                </w:p>
              </w:tc>
            </w:tr>
            <w:tr>
              <w:tc>
                <w:tcPr/>
                <w:p>
                  <w:pPr>
                    <w:pStyle w:val="Compact"/>
                    <w:jc w:val="left"/>
                    <w:jc w:val="center"/>
                  </w:pPr>
                  <w:r>
                    <w:t xml:space="preserve">Length of emergency department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Length of Intensive care unit admission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Adherence to ATLS® principles during initial resuscitation</w:t>
                  </w:r>
                </w:p>
              </w:tc>
              <w:tc>
                <w:tcPr/>
                <w:p>
                  <w:pPr>
                    <w:pStyle w:val="Compact"/>
                    <w:jc w:val="left"/>
                    <w:jc w:val="center"/>
                  </w:pPr>
                  <w:r>
                    <w:t xml:space="preserve">Nested staircase</w:t>
                  </w:r>
                </w:p>
              </w:tc>
              <w:tc>
                <w:tcPr/>
                <w:p>
                  <w:pPr>
                    <w:pStyle w:val="Compact"/>
                    <w:jc w:val="left"/>
                    <w:jc w:val="center"/>
                  </w:pPr>
                  <w:r>
                    <w:t xml:space="preserve">Proportion</w:t>
                  </w:r>
                </w:p>
              </w:tc>
              <w:tc>
                <w:tcPr/>
                <w:p>
                  <w:pPr>
                    <w:pStyle w:val="Compact"/>
                    <w:jc w:val="left"/>
                    <w:jc w:val="center"/>
                  </w:pPr>
                  <w:r>
                    <w:t xml:space="preserve">Random sample of patients observed in both control and intervention periods within the nested staircase design</w:t>
                  </w:r>
                </w:p>
              </w:tc>
            </w:tr>
          </w:tbl>
          <w:bookmarkEnd w:id="6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tbl-outcomes-analysis"/>
          <w:p>
            <w:pPr>
              <w:jc w:val="center"/>
            </w:pPr>
            <w:pPr>
              <w:jc w:val="left"/>
              <w:spacing w:before="200"/>
              <w:pStyle w:val="ImageCaption"/>
            </w:pPr>
            <w:r>
              <w:t xml:space="preserve">Table 2: Summary of outcome analysis models, effect measures, and handling of intercurrent events</w:t>
            </w:r>
          </w:p>
          <w:tbl>
            <w:tblPr>
              <w:tblStyle w:val="Table"/>
              <w:tblW w:type="pct" w:w="5000"/>
              <w:tblLayout w:type="fixed"/>
              <w:tblLook w:firstRow="1" w:lastRow="0" w:firstColumn="0" w:lastColumn="0" w:noHBand="0" w:noVBand="0" w:val="0020"/>
            </w:tblPr>
            <w:tblGrid>
              <w:gridCol w:w="1119"/>
              <w:gridCol w:w="1646"/>
              <w:gridCol w:w="1201"/>
              <w:gridCol w:w="1646"/>
              <w:gridCol w:w="2305"/>
            </w:tblGrid>
            <w:tr>
              <w:trPr>
                <w:tblHeader w:val="on"/>
              </w:trPr>
              <w:tc>
                <w:tcPr/>
                <w:p>
                  <w:pPr>
                    <w:pStyle w:val="Compact"/>
                    <w:jc w:val="left"/>
                    <w:jc w:val="center"/>
                  </w:pPr>
                  <w:r>
                    <w:t xml:space="preserve">Outcome</w:t>
                  </w:r>
                </w:p>
              </w:tc>
              <w:tc>
                <w:tcPr/>
                <w:p>
                  <w:pPr>
                    <w:pStyle w:val="Compact"/>
                    <w:jc w:val="left"/>
                    <w:jc w:val="center"/>
                  </w:pPr>
                  <w:r>
                    <w:t xml:space="preserve">Main analysis model</w:t>
                  </w:r>
                </w:p>
              </w:tc>
              <w:tc>
                <w:tcPr/>
                <w:p>
                  <w:pPr>
                    <w:pStyle w:val="Compact"/>
                    <w:jc w:val="left"/>
                    <w:jc w:val="center"/>
                  </w:pPr>
                  <w:r>
                    <w:t xml:space="preserve">Effect measure</w:t>
                  </w:r>
                </w:p>
              </w:tc>
              <w:tc>
                <w:tcPr/>
                <w:p>
                  <w:pPr>
                    <w:pStyle w:val="Compact"/>
                    <w:jc w:val="left"/>
                    <w:jc w:val="center"/>
                  </w:pPr>
                  <w:r>
                    <w:t xml:space="preserve">Potential intercurrent events</w:t>
                  </w:r>
                </w:p>
              </w:tc>
              <w:tc>
                <w:tcPr/>
                <w:p>
                  <w:pPr>
                    <w:pStyle w:val="Compact"/>
                    <w:jc w:val="left"/>
                    <w:jc w:val="center"/>
                  </w:pPr>
                  <w:r>
                    <w:t xml:space="preserve">Strategy for handling intercurrent events</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Transfer to another hospital before outcome ascertainment; withdrawal/opt-out before final analysis</w:t>
                  </w:r>
                </w:p>
              </w:tc>
              <w:tc>
                <w:tcPr/>
                <w:p>
                  <w:pPr>
                    <w:pStyle w:val="Compact"/>
                    <w:jc w:val="left"/>
                    <w:jc w:val="center"/>
                  </w:pPr>
                  <w:r>
                    <w:t xml:space="preserve">Treatment policy strategy: outcome will be ascertained irrespective of transfer where possible; all available primary outcome data included</w:t>
                  </w:r>
                </w:p>
              </w:tc>
            </w:tr>
            <w:tr>
              <w:tc>
                <w:tcPr/>
                <w:p>
                  <w:pPr>
                    <w:pStyle w:val="Compact"/>
                    <w:jc w:val="left"/>
                    <w:jc w:val="center"/>
                  </w:pPr>
                  <w:r>
                    <w:t xml:space="preserve">All-cause mortality within 24 hours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 months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Quality of life within 7 days of discharge</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 analysed among patients alive at the relevant time point; interpreted as conditional on survival</w:t>
                  </w:r>
                </w:p>
              </w:tc>
            </w:tr>
            <w:tr>
              <w:tc>
                <w:tcPr/>
                <w:p>
                  <w:pPr>
                    <w:pStyle w:val="Compact"/>
                    <w:jc w:val="left"/>
                    <w:jc w:val="center"/>
                  </w:pPr>
                  <w:r>
                    <w:t xml:space="preserve">Quality of life 30 days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Quality of life 3 months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within 7 days of discharge</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30 days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 months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Return to work 30 days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Return to work 3 months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Length of emergency department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Mixed-effects binomial regression with logit link</w:t>
                  </w:r>
                </w:p>
              </w:tc>
              <w:tc>
                <w:tcPr/>
                <w:p>
                  <w:pPr>
                    <w:pStyle w:val="Compact"/>
                    <w:jc w:val="left"/>
                    <w:jc w:val="center"/>
                  </w:pPr>
                  <w:r>
                    <w:t xml:space="preserve">Odds ratio</w:t>
                  </w:r>
                </w:p>
              </w:tc>
              <w:tc>
                <w:tcPr/>
                <w:p>
                  <w:pPr>
                    <w:pStyle w:val="Compact"/>
                    <w:jc w:val="left"/>
                    <w:jc w:val="center"/>
                  </w:pPr>
                  <w:r>
                    <w:t xml:space="preserve">Death before ICU admission ascertainment; transfer</w:t>
                  </w:r>
                </w:p>
              </w:tc>
              <w:tc>
                <w:tcPr/>
                <w:p>
                  <w:pPr>
                    <w:pStyle w:val="Compact"/>
                    <w:jc w:val="left"/>
                    <w:jc w:val="center"/>
                  </w:pPr>
                  <w:r>
                    <w:t xml:space="preserve">Treatment policy strategy using available data</w:t>
                  </w:r>
                </w:p>
              </w:tc>
            </w:tr>
            <w:tr>
              <w:tc>
                <w:tcPr/>
                <w:p>
                  <w:pPr>
                    <w:pStyle w:val="Compact"/>
                    <w:jc w:val="left"/>
                    <w:jc w:val="center"/>
                  </w:pPr>
                  <w:r>
                    <w:t xml:space="preserve">Length of Intensive care unit admission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Adherence to ATLS® principles during initial resuscitation</w:t>
                  </w:r>
                </w:p>
              </w:tc>
              <w:tc>
                <w:tcPr/>
                <w:p>
                  <w:pPr>
                    <w:pStyle w:val="Compact"/>
                    <w:jc w:val="left"/>
                    <w:jc w:val="center"/>
                  </w:pPr>
                  <w:r>
                    <w:t xml:space="preserve">Mixed-effects beta regression with logit link</w:t>
                  </w:r>
                </w:p>
              </w:tc>
              <w:tc>
                <w:tcPr/>
                <w:p>
                  <w:pPr>
                    <w:pStyle w:val="Compact"/>
                    <w:jc w:val="left"/>
                    <w:jc w:val="center"/>
                  </w:pPr>
                  <w:r>
                    <w:t xml:space="preserve">Difference in expected adherence proportion on the logit scale</w:t>
                  </w:r>
                </w:p>
              </w:tc>
              <w:tc>
                <w:tcPr/>
                <w:p>
                  <w:pPr>
                    <w:pStyle w:val="Compact"/>
                    <w:jc w:val="left"/>
                    <w:jc w:val="center"/>
                  </w:pPr>
                  <w:r>
                    <w:t xml:space="preserve">Failure to observe resuscitation; incomplete observation window</w:t>
                  </w:r>
                </w:p>
              </w:tc>
              <w:tc>
                <w:tcPr/>
                <w:p>
                  <w:pPr>
                    <w:pStyle w:val="Compact"/>
                    <w:jc w:val="left"/>
                    <w:jc w:val="center"/>
                  </w:pPr>
                  <w:r>
                    <w:t xml:space="preserve">Treatment policy strategy for the observed nested sample</w:t>
                  </w:r>
                </w:p>
              </w:tc>
            </w:tr>
          </w:tbl>
          <w:bookmarkEnd w:id="63"/>
          <w:p/>
        </w:tc>
      </w:tr>
    </w:tbl>
    <w:bookmarkEnd w:id="64"/>
    <w:bookmarkEnd w:id="65"/>
    <w:bookmarkEnd w:id="66"/>
    <w:bookmarkStart w:id="67"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 and the absolute risk difference (ARD) would be 0.</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and the ARD would be different from 0. Our expectation, based on our pilot study and review of the literature, is that the OR will be less than 1 and the ARD will be less than 0,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7"/>
    <w:bookmarkStart w:id="74" w:name="sample-size-calculations"/>
    <w:p>
      <w:pPr>
        <w:pStyle w:val="Heading2"/>
      </w:pPr>
      <w:r>
        <w:t xml:space="preserve">5.5 Sample size calculations</w:t>
      </w:r>
    </w:p>
    <w:bookmarkStart w:id="72"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71" w:name="fig-power-curves"/>
          <w:p>
            <w:pPr>
              <w:pStyle w:val="Compact"/>
              <w:jc w:val="center"/>
            </w:pPr>
            <w:r>
              <w:drawing>
                <wp:inline>
                  <wp:extent cx="5334000" cy="2369551"/>
                  <wp:effectExtent b="0" l="0" r="0" t="0"/>
                  <wp:docPr descr="" title="" id="69" name="Picture"/>
                  <a:graphic>
                    <a:graphicData uri="http://schemas.openxmlformats.org/drawingml/2006/picture">
                      <pic:pic>
                        <pic:nvPicPr>
                          <pic:cNvPr descr="./combined-power-curves.png" id="70" name="Picture"/>
                          <pic:cNvPicPr>
                            <a:picLocks noChangeArrowheads="1" noChangeAspect="1"/>
                          </pic:cNvPicPr>
                        </pic:nvPicPr>
                        <pic:blipFill>
                          <a:blip r:embed="rId68"/>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1"/>
        </w:tc>
      </w:tr>
    </w:tbl>
    <w:bookmarkEnd w:id="72"/>
    <w:bookmarkStart w:id="73"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3"/>
    <w:bookmarkEnd w:id="74"/>
    <w:bookmarkStart w:id="77" w:name="statistical-principles"/>
    <w:p>
      <w:pPr>
        <w:pStyle w:val="Heading2"/>
      </w:pPr>
      <w:r>
        <w:t xml:space="preserve">5.6 Statistical principles</w:t>
      </w:r>
    </w:p>
    <w:bookmarkStart w:id="75"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5"/>
    <w:bookmarkStart w:id="76"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6"/>
    <w:bookmarkEnd w:id="77"/>
    <w:bookmarkStart w:id="78"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8"/>
    <w:bookmarkStart w:id="81" w:name="baseline-analyses"/>
    <w:p>
      <w:pPr>
        <w:pStyle w:val="Heading2"/>
      </w:pPr>
      <w:r>
        <w:t xml:space="preserve">5.8 Baseline analyses</w:t>
      </w:r>
    </w:p>
    <w:bookmarkStart w:id="79"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9"/>
    <w:bookmarkStart w:id="80"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80"/>
    <w:bookmarkEnd w:id="81"/>
    <w:bookmarkStart w:id="82"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2"/>
    <w:bookmarkStart w:id="104"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3"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3"/>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4"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4"/>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5"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5"/>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6"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6"/>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7"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7"/>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0"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9"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8"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8"/>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9"/>
    <w:bookmarkStart w:id="91"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0"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0"/>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1"/>
    <w:bookmarkStart w:id="93"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2"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2"/>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3"/>
    <w:bookmarkStart w:id="95"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4"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4"/>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5"/>
    <w:bookmarkStart w:id="97"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6"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6"/>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7"/>
    <w:bookmarkStart w:id="99"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8"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8"/>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9"/>
    <w:bookmarkEnd w:id="100"/>
    <w:bookmarkStart w:id="101"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1"/>
    <w:bookmarkStart w:id="102"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5"/>
        </w:numPr>
      </w:pPr>
      <w:r>
        <w:t xml:space="preserve">patients with major trauma, defined as patients with an injury severity score (ISS) of 16 or higher;</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2"/>
    <w:bookmarkStart w:id="103"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3"/>
    <w:bookmarkEnd w:id="104"/>
    <w:bookmarkStart w:id="118"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5"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5"/>
    <w:bookmarkStart w:id="108"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6"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6"/>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7"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7"/>
    </w:p>
    <w:bookmarkEnd w:id="108"/>
    <w:bookmarkStart w:id="109"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9"/>
    <w:bookmarkStart w:id="110"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0"/>
    <w:bookmarkStart w:id="112"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1"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1"/>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12"/>
    <w:bookmarkStart w:id="113"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3"/>
    <w:bookmarkStart w:id="114"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4"/>
    <w:bookmarkStart w:id="115"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5"/>
    <w:bookmarkStart w:id="117"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6"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6"/>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7"/>
    <w:bookmarkEnd w:id="118"/>
    <w:bookmarkEnd w:id="119"/>
    <w:bookmarkStart w:id="141" w:name="references"/>
    <w:p>
      <w:pPr>
        <w:pStyle w:val="Heading1"/>
      </w:pPr>
      <w:r>
        <w:t xml:space="preserve">6. References</w:t>
      </w:r>
    </w:p>
    <w:bookmarkStart w:id="140" w:name="refs"/>
    <w:bookmarkStart w:id="120"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0"/>
    <w:bookmarkStart w:id="121"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1"/>
    <w:bookmarkStart w:id="122"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2"/>
    <w:bookmarkStart w:id="123"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3"/>
    <w:bookmarkStart w:id="124"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4"/>
    <w:bookmarkStart w:id="125"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5"/>
    <w:bookmarkStart w:id="126"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6"/>
    <w:bookmarkStart w:id="127"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7"/>
    <w:bookmarkStart w:id="128"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8"/>
    <w:bookmarkStart w:id="129"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9"/>
    <w:bookmarkStart w:id="130"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0"/>
    <w:bookmarkStart w:id="131"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1"/>
    <w:bookmarkStart w:id="132"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2"/>
    <w:bookmarkStart w:id="133"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3"/>
    <w:bookmarkStart w:id="134"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4"/>
    <w:bookmarkStart w:id="135"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5"/>
    <w:bookmarkStart w:id="136"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6"/>
    <w:bookmarkStart w:id="137"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7"/>
    <w:bookmarkStart w:id="138"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38"/>
    <w:bookmarkStart w:id="139"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2026-05-27T04:18:20Z</dcterms:created>
  <dcterms:modified xsi:type="dcterms:W3CDTF">2026-05-27T04:18:20Z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