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Patientkontrollerad sedering (PCS) med propofol vid inläggning av subkutan venport</w:t>
      </w:r>
    </w:p>
    <w:p>
      <w:pPr>
        <w:pStyle w:val="FirstParagraph"/>
      </w:pPr>
      <w:r>
        <w:rPr>
          <w:b/>
          <w:bCs/>
        </w:rPr>
        <w:t xml:space="preserve">Utkast för granskning</w:t>
      </w:r>
      <w:r>
        <w:t xml:space="preserve"> </w:t>
      </w:r>
      <w:r>
        <w:t xml:space="preserve">· Datum: 2026-10-15 · Författare: Martin Gerdin Wärnberg, Sara Ekvall</w:t>
      </w:r>
    </w:p>
    <w:bookmarkStart w:id="20" w:name="bakgrund-och-syfte"/>
    <w:p>
      <w:pPr>
        <w:pStyle w:val="Heading2"/>
      </w:pPr>
      <w:r>
        <w:t xml:space="preserve">Bakgrund och syfte</w:t>
      </w:r>
    </w:p>
    <w:p>
      <w:pPr>
        <w:pStyle w:val="FirstParagraph"/>
      </w:pPr>
      <w:r>
        <w:t xml:space="preserve">Propofol är ett kortverkande intravenöst anestesimedel. Vid patientkontrollerad sedering (PCS) administrerar patienten själv små bolusdoser via en infusionspump med patientkontroll tills önskad sederingsnivå uppnås. Syftet är att på ett säkert sätt erbjuda komfortsedering vid elektiva ingrepp som inläggning av subkutana venportar. Eftersom patienten själv styr sederingen minskar riskerna för både otillräcklig och överdriven sedering.</w:t>
      </w:r>
    </w:p>
    <w:p>
      <w:pPr>
        <w:pStyle w:val="BodyText"/>
      </w:pPr>
      <w:r>
        <w:t xml:space="preserve">Liknande protokoll för sedering med propofol som enda läkemedel eller i kombination med till exempel alfentanil används vid andra enheter på Karolinska Universitetssjukhuset och i andra regioner i Sverige, för detta ingrepp och för andra procedurer</w:t>
      </w:r>
      <w:r>
        <w:rPr>
          <w:vertAlign w:val="superscript"/>
        </w:rPr>
        <w:t xml:space="preserve">1–6</w:t>
      </w:r>
      <w:r>
        <w:t xml:space="preserve">.</w:t>
      </w:r>
    </w:p>
    <w:p>
      <w:pPr>
        <w:pStyle w:val="BodyText"/>
      </w:pPr>
      <w:r>
        <w:t xml:space="preserve">Svenska studier har utvärderat PCS som tillägg till lokalanestesi vid portinläggning. En genomförbarhetsstudie visade att metoden är praktiskt genomförbar och väl accepterad bland patienter med cancer</w:t>
      </w:r>
      <w:r>
        <w:rPr>
          <w:vertAlign w:val="superscript"/>
        </w:rPr>
        <w:t xml:space="preserve">7</w:t>
      </w:r>
      <w:r>
        <w:t xml:space="preserve">. I en senare randomiserad studie (n=340) gav PCS med propofol–alfentanil oftare optimala procedurförhållanden med bibehållen hög patientnöjdhet, men minskade inte den intraoperativa smärtan jämfört med enbart lokalanestesi</w:t>
      </w:r>
      <w:r>
        <w:rPr>
          <w:vertAlign w:val="superscript"/>
        </w:rPr>
        <w:t xml:space="preserve">8,9</w:t>
      </w:r>
      <w:r>
        <w:t xml:space="preserve">.</w:t>
      </w:r>
    </w:p>
    <w:p>
      <w:pPr>
        <w:pStyle w:val="BodyText"/>
      </w:pPr>
      <w:r>
        <w:t xml:space="preserve">Sammantaget kan PCS därför erbjudas patienter som önskar sedering under ingreppet, men erbjuder inte bättre smärtlindring än lokalanestesi.</w:t>
      </w:r>
    </w:p>
    <w:bookmarkEnd w:id="20"/>
    <w:bookmarkStart w:id="21" w:name="patienturval"/>
    <w:p>
      <w:pPr>
        <w:pStyle w:val="Heading2"/>
      </w:pPr>
      <w:r>
        <w:t xml:space="preserve">Patienturval</w:t>
      </w:r>
    </w:p>
    <w:p>
      <w:pPr>
        <w:pStyle w:val="FirstParagraph"/>
      </w:pPr>
      <w:r>
        <w:t xml:space="preserve">Patienter som ska genomgå elektiv inläggning av subkutan venport och som uppfyller följande kriterier:</w:t>
      </w:r>
    </w:p>
    <w:p>
      <w:pPr>
        <w:pStyle w:val="Compact"/>
        <w:numPr>
          <w:ilvl w:val="0"/>
          <w:numId w:val="1001"/>
        </w:numPr>
      </w:pPr>
      <w:r>
        <w:t xml:space="preserve">Ålder ≥ 18 år</w:t>
      </w:r>
    </w:p>
    <w:p>
      <w:pPr>
        <w:pStyle w:val="Compact"/>
        <w:numPr>
          <w:ilvl w:val="0"/>
          <w:numId w:val="1001"/>
        </w:numPr>
      </w:pPr>
      <w:r>
        <w:t xml:space="preserve">ASA-klass 1–3</w:t>
      </w:r>
    </w:p>
    <w:p>
      <w:pPr>
        <w:pStyle w:val="Compact"/>
        <w:numPr>
          <w:ilvl w:val="0"/>
          <w:numId w:val="1001"/>
        </w:numPr>
      </w:pPr>
      <w:r>
        <w:t xml:space="preserve">BMI under 40</w:t>
      </w:r>
    </w:p>
    <w:p>
      <w:pPr>
        <w:pStyle w:val="Compact"/>
        <w:numPr>
          <w:ilvl w:val="0"/>
          <w:numId w:val="1001"/>
        </w:numPr>
      </w:pPr>
      <w:r>
        <w:t xml:space="preserve">Förmåga att förstå och ta till sig information kring metodens syfte och genomförande</w:t>
      </w:r>
    </w:p>
    <w:bookmarkEnd w:id="21"/>
    <w:bookmarkStart w:id="22" w:name="kontraindikationer"/>
    <w:p>
      <w:pPr>
        <w:pStyle w:val="Heading2"/>
      </w:pPr>
      <w:r>
        <w:t xml:space="preserve">Kontraindikationer</w:t>
      </w:r>
    </w:p>
    <w:p>
      <w:pPr>
        <w:pStyle w:val="Compact"/>
        <w:numPr>
          <w:ilvl w:val="0"/>
          <w:numId w:val="1002"/>
        </w:numPr>
      </w:pPr>
      <w:r>
        <w:t xml:space="preserve">Allergi mot propofol</w:t>
      </w:r>
    </w:p>
    <w:p>
      <w:pPr>
        <w:pStyle w:val="Compact"/>
        <w:numPr>
          <w:ilvl w:val="0"/>
          <w:numId w:val="1002"/>
        </w:numPr>
      </w:pPr>
      <w:r>
        <w:t xml:space="preserve">ASA-klass ≥ 3</w:t>
      </w:r>
    </w:p>
    <w:p>
      <w:pPr>
        <w:pStyle w:val="Compact"/>
        <w:numPr>
          <w:ilvl w:val="0"/>
          <w:numId w:val="1002"/>
        </w:numPr>
      </w:pPr>
      <w:r>
        <w:t xml:space="preserve">Förväntat svår luftväg</w:t>
      </w:r>
    </w:p>
    <w:p>
      <w:pPr>
        <w:pStyle w:val="Compact"/>
        <w:numPr>
          <w:ilvl w:val="0"/>
          <w:numId w:val="1002"/>
        </w:numPr>
      </w:pPr>
      <w:r>
        <w:t xml:space="preserve">Kommunikationssvårigheter eller oförmåga att manövrera patientkontrollen</w:t>
      </w:r>
    </w:p>
    <w:bookmarkEnd w:id="22"/>
    <w:bookmarkStart w:id="23" w:name="förberedelser"/>
    <w:p>
      <w:pPr>
        <w:pStyle w:val="Heading2"/>
      </w:pPr>
      <w:r>
        <w:t xml:space="preserve">Förberedelser</w:t>
      </w:r>
    </w:p>
    <w:p>
      <w:pPr>
        <w:pStyle w:val="Compact"/>
        <w:numPr>
          <w:ilvl w:val="0"/>
          <w:numId w:val="1003"/>
        </w:numPr>
      </w:pPr>
      <w:r>
        <w:t xml:space="preserve">Checklista gås igenom före start</w:t>
      </w:r>
    </w:p>
    <w:p>
      <w:pPr>
        <w:pStyle w:val="Compact"/>
        <w:numPr>
          <w:ilvl w:val="0"/>
          <w:numId w:val="1003"/>
        </w:numPr>
      </w:pPr>
      <w:r>
        <w:t xml:space="preserve">Muntlig information ges på behandlingsdagen</w:t>
      </w:r>
    </w:p>
    <w:p>
      <w:pPr>
        <w:pStyle w:val="Compact"/>
        <w:numPr>
          <w:ilvl w:val="0"/>
          <w:numId w:val="1003"/>
        </w:numPr>
      </w:pPr>
      <w:r>
        <w:t xml:space="preserve">Fasta enligt SFAI: fast föda 6 timmar, klar dryck till 2 timmar före</w:t>
      </w:r>
    </w:p>
    <w:p>
      <w:pPr>
        <w:pStyle w:val="Compact"/>
        <w:numPr>
          <w:ilvl w:val="0"/>
          <w:numId w:val="1003"/>
        </w:numPr>
      </w:pPr>
      <w:r>
        <w:t xml:space="preserve">Fungerande perifer veninfart</w:t>
      </w:r>
    </w:p>
    <w:p>
      <w:pPr>
        <w:pStyle w:val="Compact"/>
        <w:numPr>
          <w:ilvl w:val="0"/>
          <w:numId w:val="1003"/>
        </w:numPr>
      </w:pPr>
      <w:r>
        <w:t xml:space="preserve">Syrgas via grimma</w:t>
      </w:r>
    </w:p>
    <w:p>
      <w:pPr>
        <w:pStyle w:val="Compact"/>
        <w:numPr>
          <w:ilvl w:val="0"/>
          <w:numId w:val="1003"/>
        </w:numPr>
      </w:pPr>
      <w:r>
        <w:t xml:space="preserve">Övervakning: pulsoximetri, blodtryck och EKG</w:t>
      </w:r>
    </w:p>
    <w:bookmarkEnd w:id="23"/>
    <w:bookmarkStart w:id="24" w:name="genomförande"/>
    <w:p>
      <w:pPr>
        <w:pStyle w:val="Heading2"/>
      </w:pPr>
      <w:r>
        <w:t xml:space="preserve">Genomförande</w:t>
      </w:r>
    </w:p>
    <w:p>
      <w:pPr>
        <w:pStyle w:val="Compact"/>
        <w:numPr>
          <w:ilvl w:val="0"/>
          <w:numId w:val="1004"/>
        </w:numPr>
      </w:pPr>
      <w:r>
        <w:t xml:space="preserve">Anestesisjuksköterska informerar patienten pre-operativt och övervakar samt dokumenterar övervakningsparametrar och givna läkemedel</w:t>
      </w:r>
    </w:p>
    <w:p>
      <w:pPr>
        <w:pStyle w:val="Compact"/>
        <w:numPr>
          <w:ilvl w:val="0"/>
          <w:numId w:val="1004"/>
        </w:numPr>
      </w:pPr>
      <w:r>
        <w:t xml:space="preserve">Propofol 10 mg/ml i pump; bolusvolym 1 ml/dos; spärrtid 1 min; max 20 ml/timme.</w:t>
      </w:r>
    </w:p>
    <w:bookmarkEnd w:id="24"/>
    <w:bookmarkStart w:id="25" w:name="komplikationer-och-åtgärder"/>
    <w:p>
      <w:pPr>
        <w:pStyle w:val="Heading2"/>
      </w:pPr>
      <w:r>
        <w:t xml:space="preserve">Komplikationer och åtgärder</w:t>
      </w:r>
    </w:p>
    <w:p>
      <w:pPr>
        <w:pStyle w:val="Compact"/>
        <w:numPr>
          <w:ilvl w:val="0"/>
          <w:numId w:val="1005"/>
        </w:numPr>
      </w:pPr>
      <w:r>
        <w:rPr>
          <w:b/>
          <w:bCs/>
        </w:rPr>
        <w:t xml:space="preserve">Bradykardi</w:t>
      </w:r>
      <w:r>
        <w:t xml:space="preserve"> </w:t>
      </w:r>
      <w:r>
        <w:t xml:space="preserve">(puls &lt; 45): avbryt tillförsel, överväg atropin 0,5 mg i.v.</w:t>
      </w:r>
    </w:p>
    <w:p>
      <w:pPr>
        <w:pStyle w:val="Compact"/>
        <w:numPr>
          <w:ilvl w:val="0"/>
          <w:numId w:val="1005"/>
        </w:numPr>
      </w:pPr>
      <w:r>
        <w:rPr>
          <w:b/>
          <w:bCs/>
        </w:rPr>
        <w:t xml:space="preserve">Hypotension</w:t>
      </w:r>
      <w:r>
        <w:t xml:space="preserve"> </w:t>
      </w:r>
      <w:r>
        <w:t xml:space="preserve">(systoliskt BT &lt; 90): avbryt, tippa huvudändan, vätska, vid behov efedrin i.v.</w:t>
      </w:r>
    </w:p>
    <w:p>
      <w:pPr>
        <w:pStyle w:val="Compact"/>
        <w:numPr>
          <w:ilvl w:val="0"/>
          <w:numId w:val="1005"/>
        </w:numPr>
      </w:pPr>
      <w:r>
        <w:rPr>
          <w:b/>
          <w:bCs/>
        </w:rPr>
        <w:t xml:space="preserve">Hypoxi</w:t>
      </w:r>
      <w:r>
        <w:t xml:space="preserve"> </w:t>
      </w:r>
      <w:r>
        <w:t xml:space="preserve">(SaO₂ &lt; 90 %): avbryt, säkra fri luftväg, uppmana djupa andetag, höj syrgas</w:t>
      </w:r>
    </w:p>
    <w:bookmarkEnd w:id="25"/>
    <w:bookmarkStart w:id="26" w:name="efter-sedering"/>
    <w:p>
      <w:pPr>
        <w:pStyle w:val="Heading2"/>
      </w:pPr>
      <w:r>
        <w:t xml:space="preserve">Efter sedering</w:t>
      </w:r>
    </w:p>
    <w:p>
      <w:pPr>
        <w:pStyle w:val="Compact"/>
        <w:numPr>
          <w:ilvl w:val="0"/>
          <w:numId w:val="1006"/>
        </w:numPr>
      </w:pPr>
      <w:r>
        <w:t xml:space="preserve">Patienten observeras tills hen är vaken och mobiliserad — minst 30 minuter efter sista dosen</w:t>
      </w:r>
    </w:p>
    <w:p>
      <w:pPr>
        <w:pStyle w:val="Compact"/>
        <w:numPr>
          <w:ilvl w:val="0"/>
          <w:numId w:val="1006"/>
        </w:numPr>
      </w:pPr>
      <w:r>
        <w:t xml:space="preserve">Information före hemgång: inga koncentrationskrävande aktiviteter resterande del av dagen (köra bil, hantera motorredskap, ta hand om spädbarn eller underteckna viktiga handlingar)</w:t>
      </w:r>
    </w:p>
    <w:bookmarkEnd w:id="26"/>
    <w:bookmarkStart w:id="40" w:name="referenser"/>
    <w:p>
      <w:pPr>
        <w:pStyle w:val="Heading2"/>
      </w:pPr>
      <w:r>
        <w:t xml:space="preserve">Referenser</w:t>
      </w:r>
    </w:p>
    <w:bookmarkStart w:id="39" w:name="refs"/>
    <w:bookmarkStart w:id="27" w:name="X08594375d99a91007a7991f32705fde4c3e40a0"/>
    <w:p>
      <w:pPr>
        <w:pStyle w:val="Bibliography"/>
      </w:pPr>
      <w:r>
        <w:t xml:space="preserve">1.</w:t>
      </w:r>
      <w:r>
        <w:t xml:space="preserve"> </w:t>
      </w:r>
      <w:r>
        <w:t xml:space="preserve">	</w:t>
      </w:r>
      <w:r>
        <w:t xml:space="preserve">Region Jönköpings län. Grundkoncept för patientstyrd sedering utan anestesipersonal,</w:t>
      </w:r>
      <w:r>
        <w:t xml:space="preserve"> </w:t>
      </w:r>
      <w:r>
        <w:t xml:space="preserve">OP/IVA</w:t>
      </w:r>
      <w:r>
        <w:t xml:space="preserve">-klinikerna. (2026).</w:t>
      </w:r>
    </w:p>
    <w:bookmarkEnd w:id="27"/>
    <w:bookmarkStart w:id="28" w:name="ref-region_jonkoping_pss_endoskopi_2025"/>
    <w:p>
      <w:pPr>
        <w:pStyle w:val="Bibliography"/>
      </w:pPr>
      <w:r>
        <w:t xml:space="preserve">2.</w:t>
      </w:r>
      <w:r>
        <w:t xml:space="preserve"> </w:t>
      </w:r>
      <w:r>
        <w:t xml:space="preserve">	</w:t>
      </w:r>
      <w:r>
        <w:t xml:space="preserve">Region Jönköpings län. Patientkontrollerad sedering (</w:t>
      </w:r>
      <w:r>
        <w:t xml:space="preserve">PSS</w:t>
      </w:r>
      <w:r>
        <w:t xml:space="preserve">) med</w:t>
      </w:r>
      <w:r>
        <w:t xml:space="preserve"> </w:t>
      </w:r>
      <w:r>
        <w:t xml:space="preserve">Propofol</w:t>
      </w:r>
      <w:r>
        <w:t xml:space="preserve">, rutin för endoskopienheten</w:t>
      </w:r>
      <w:r>
        <w:t xml:space="preserve"> </w:t>
      </w:r>
      <w:r>
        <w:t xml:space="preserve">Jönköping</w:t>
      </w:r>
      <w:r>
        <w:t xml:space="preserve">. (2025).</w:t>
      </w:r>
    </w:p>
    <w:bookmarkEnd w:id="28"/>
    <w:bookmarkStart w:id="29" w:name="ref-region_kronoberg_pcs_endoskopi_2026"/>
    <w:p>
      <w:pPr>
        <w:pStyle w:val="Bibliography"/>
      </w:pPr>
      <w:r>
        <w:t xml:space="preserve">3.</w:t>
      </w:r>
      <w:r>
        <w:t xml:space="preserve"> </w:t>
      </w:r>
      <w:r>
        <w:t xml:space="preserve">	</w:t>
      </w:r>
      <w:r>
        <w:t xml:space="preserve">Region Kronoberg. Patientkontrollerad propofolsedering (</w:t>
      </w:r>
      <w:r>
        <w:t xml:space="preserve">PCS</w:t>
      </w:r>
      <w:r>
        <w:t xml:space="preserve">) vid endoskopier,</w:t>
      </w:r>
      <w:r>
        <w:t xml:space="preserve"> </w:t>
      </w:r>
      <w:r>
        <w:t xml:space="preserve">Region</w:t>
      </w:r>
      <w:r>
        <w:t xml:space="preserve"> </w:t>
      </w:r>
      <w:r>
        <w:t xml:space="preserve">Kronoberg</w:t>
      </w:r>
      <w:r>
        <w:t xml:space="preserve">. (2026).</w:t>
      </w:r>
    </w:p>
    <w:bookmarkEnd w:id="29"/>
    <w:bookmarkStart w:id="30" w:name="ref-nu_sjukvarden_propofolsedering_2026"/>
    <w:p>
      <w:pPr>
        <w:pStyle w:val="Bibliography"/>
      </w:pPr>
      <w:r>
        <w:t xml:space="preserve">4.</w:t>
      </w:r>
      <w:r>
        <w:t xml:space="preserve"> </w:t>
      </w:r>
      <w:r>
        <w:t xml:space="preserve">	</w:t>
      </w:r>
      <w:r>
        <w:t xml:space="preserve">NU-sjukvården. Propofolsedering på</w:t>
      </w:r>
      <w:r>
        <w:t xml:space="preserve"> </w:t>
      </w:r>
      <w:r>
        <w:t xml:space="preserve">Endoskopimottagningen</w:t>
      </w:r>
      <w:r>
        <w:t xml:space="preserve"> </w:t>
      </w:r>
      <w:r>
        <w:t xml:space="preserve">NU</w:t>
      </w:r>
      <w:r>
        <w:t xml:space="preserve">-sjukvården. (2026).</w:t>
      </w:r>
    </w:p>
    <w:bookmarkEnd w:id="30"/>
    <w:bookmarkStart w:id="31" w:name="Xd15d4ed692d43b217fc9fb6b6ab4d74327543d4"/>
    <w:p>
      <w:pPr>
        <w:pStyle w:val="Bibliography"/>
      </w:pPr>
      <w:r>
        <w:t xml:space="preserve">5.</w:t>
      </w:r>
      <w:r>
        <w:t xml:space="preserve"> </w:t>
      </w:r>
      <w:r>
        <w:t xml:space="preserve">	</w:t>
      </w:r>
      <w:r>
        <w:t xml:space="preserve">Region Östergötland. Patientstyrd sedering i egen regi: Skapa en patientsäker rutin med propofol utan medverkande anestesipersonal. (2023).</w:t>
      </w:r>
    </w:p>
    <w:bookmarkEnd w:id="31"/>
    <w:bookmarkStart w:id="32" w:name="ref-region_stockholm_pcs_hematologi_2025"/>
    <w:p>
      <w:pPr>
        <w:pStyle w:val="Bibliography"/>
      </w:pPr>
      <w:r>
        <w:t xml:space="preserve">6.</w:t>
      </w:r>
      <w:r>
        <w:t xml:space="preserve"> </w:t>
      </w:r>
      <w:r>
        <w:t xml:space="preserve">	</w:t>
      </w:r>
      <w:r>
        <w:t xml:space="preserve">Karolinska Universitetssjukhuset, Region Stockholm. Patientkontrollerad sedering på</w:t>
      </w:r>
      <w:r>
        <w:t xml:space="preserve"> </w:t>
      </w:r>
      <w:r>
        <w:t xml:space="preserve">ME</w:t>
      </w:r>
      <w:r>
        <w:t xml:space="preserve"> </w:t>
      </w:r>
      <w:r>
        <w:t xml:space="preserve">Hematologi</w:t>
      </w:r>
      <w:r>
        <w:t xml:space="preserve">. (2025).</w:t>
      </w:r>
    </w:p>
    <w:bookmarkEnd w:id="32"/>
    <w:bookmarkStart w:id="34" w:name="ref-seifert_patient-controlled_2022"/>
    <w:p>
      <w:pPr>
        <w:pStyle w:val="Bibliography"/>
      </w:pPr>
      <w:r>
        <w:t xml:space="preserve">7.</w:t>
      </w:r>
      <w:r>
        <w:t xml:space="preserve"> </w:t>
      </w:r>
      <w:r>
        <w:t xml:space="preserve">	</w:t>
      </w:r>
      <w:r>
        <w:t xml:space="preserve">Seifert, S.</w:t>
      </w:r>
      <w:r>
        <w:t xml:space="preserve"> </w:t>
      </w:r>
      <w:r>
        <w:rPr>
          <w:i/>
          <w:iCs/>
        </w:rPr>
        <w:t xml:space="preserve">et al.</w:t>
      </w:r>
      <w:r>
        <w:t xml:space="preserve"> </w:t>
      </w:r>
      <w:hyperlink r:id="rId33">
        <w:r>
          <w:rPr>
            <w:rStyle w:val="Hyperlink"/>
          </w:rPr>
          <w:t xml:space="preserve">Patient-</w:t>
        </w:r>
        <w:r>
          <w:rPr>
            <w:rStyle w:val="Hyperlink"/>
          </w:rPr>
          <w:t xml:space="preserve">Controlled</w:t>
        </w:r>
        <w:r>
          <w:rPr>
            <w:rStyle w:val="Hyperlink"/>
          </w:rPr>
          <w:t xml:space="preserve"> </w:t>
        </w:r>
        <w:r>
          <w:rPr>
            <w:rStyle w:val="Hyperlink"/>
          </w:rPr>
          <w:t xml:space="preserve">Sedation</w:t>
        </w:r>
        <w:r>
          <w:rPr>
            <w:rStyle w:val="Hyperlink"/>
          </w:rPr>
          <w:t xml:space="preserve"> </w:t>
        </w:r>
        <w:r>
          <w:rPr>
            <w:rStyle w:val="Hyperlink"/>
          </w:rPr>
          <w:t xml:space="preserve">in</w:t>
        </w:r>
        <w:r>
          <w:rPr>
            <w:rStyle w:val="Hyperlink"/>
          </w:rPr>
          <w:t xml:space="preserve"> </w:t>
        </w:r>
        <w:r>
          <w:rPr>
            <w:rStyle w:val="Hyperlink"/>
          </w:rPr>
          <w:t xml:space="preserve">Port</w:t>
        </w:r>
        <w:r>
          <w:rPr>
            <w:rStyle w:val="Hyperlink"/>
          </w:rPr>
          <w:t xml:space="preserve"> </w:t>
        </w:r>
        <w:r>
          <w:rPr>
            <w:rStyle w:val="Hyperlink"/>
          </w:rPr>
          <w:t xml:space="preserve">Implantation</w:t>
        </w:r>
        <w:r>
          <w:rPr>
            <w:rStyle w:val="Hyperlink"/>
          </w:rPr>
          <w:t xml:space="preserve"> </w:t>
        </w:r>
        <w:r>
          <w:rPr>
            <w:rStyle w:val="Hyperlink"/>
          </w:rPr>
          <w:t xml:space="preserve">(</w:t>
        </w:r>
        <w:r>
          <w:rPr>
            <w:rStyle w:val="Hyperlink"/>
          </w:rPr>
          <w:t xml:space="preserve">PACSPI</w:t>
        </w:r>
        <w:r>
          <w:rPr>
            <w:rStyle w:val="Hyperlink"/>
          </w:rPr>
          <w:t xml:space="preserve"> </w:t>
        </w:r>
        <w:r>
          <w:rPr>
            <w:rStyle w:val="Hyperlink"/>
          </w:rPr>
          <w:t xml:space="preserve">1) –</w:t>
        </w:r>
        <w:r>
          <w:rPr>
            <w:rStyle w:val="Hyperlink"/>
          </w:rPr>
          <w:t xml:space="preserve"> </w:t>
        </w:r>
        <w:r>
          <w:rPr>
            <w:rStyle w:val="Hyperlink"/>
          </w:rPr>
          <w:t xml:space="preserve">A</w:t>
        </w:r>
        <w:r>
          <w:rPr>
            <w:rStyle w:val="Hyperlink"/>
          </w:rPr>
          <w:t xml:space="preserve"> </w:t>
        </w:r>
        <w:r>
          <w:rPr>
            <w:rStyle w:val="Hyperlink"/>
          </w:rPr>
          <w:t xml:space="preserve">feasibility trial</w:t>
        </w:r>
      </w:hyperlink>
      <w:r>
        <w:t xml:space="preserve">.</w:t>
      </w:r>
      <w:r>
        <w:t xml:space="preserve"> </w:t>
      </w:r>
      <w:r>
        <w:rPr>
          <w:i/>
          <w:iCs/>
        </w:rPr>
        <w:t xml:space="preserve">BJA Open</w:t>
      </w:r>
      <w:r>
        <w:t xml:space="preserve"> </w:t>
      </w:r>
      <w:r>
        <w:rPr>
          <w:b/>
          <w:bCs/>
        </w:rPr>
        <w:t xml:space="preserve">3</w:t>
      </w:r>
      <w:r>
        <w:t xml:space="preserve">, (2022).</w:t>
      </w:r>
    </w:p>
    <w:bookmarkEnd w:id="34"/>
    <w:bookmarkStart w:id="36" w:name="ref-seifert_patientcontrolled_2026"/>
    <w:p>
      <w:pPr>
        <w:pStyle w:val="Bibliography"/>
      </w:pPr>
      <w:r>
        <w:t xml:space="preserve">8.</w:t>
      </w:r>
      <w:r>
        <w:t xml:space="preserve"> </w:t>
      </w:r>
      <w:r>
        <w:t xml:space="preserve">	</w:t>
      </w:r>
      <w:r>
        <w:t xml:space="preserve">Seifert, S.</w:t>
      </w:r>
      <w:r>
        <w:t xml:space="preserve"> </w:t>
      </w:r>
      <w:r>
        <w:rPr>
          <w:i/>
          <w:iCs/>
        </w:rPr>
        <w:t xml:space="preserve">et al.</w:t>
      </w:r>
      <w:r>
        <w:t xml:space="preserve"> </w:t>
      </w:r>
      <w:hyperlink r:id="rId35">
        <w:r>
          <w:rPr>
            <w:rStyle w:val="Hyperlink"/>
          </w:rPr>
          <w:t xml:space="preserve">Patient‐</w:t>
        </w:r>
        <w:r>
          <w:rPr>
            <w:rStyle w:val="Hyperlink"/>
          </w:rPr>
          <w:t xml:space="preserve">Controlled</w:t>
        </w:r>
        <w:r>
          <w:rPr>
            <w:rStyle w:val="Hyperlink"/>
          </w:rPr>
          <w:t xml:space="preserve"> </w:t>
        </w:r>
        <w:r>
          <w:rPr>
            <w:rStyle w:val="Hyperlink"/>
          </w:rPr>
          <w:t xml:space="preserve">Sedation</w:t>
        </w:r>
        <w:r>
          <w:rPr>
            <w:rStyle w:val="Hyperlink"/>
          </w:rPr>
          <w:t xml:space="preserve"> </w:t>
        </w:r>
        <w:r>
          <w:rPr>
            <w:rStyle w:val="Hyperlink"/>
          </w:rPr>
          <w:t xml:space="preserve">in</w:t>
        </w:r>
        <w:r>
          <w:rPr>
            <w:rStyle w:val="Hyperlink"/>
          </w:rPr>
          <w:t xml:space="preserve"> </w:t>
        </w:r>
        <w:r>
          <w:rPr>
            <w:rStyle w:val="Hyperlink"/>
          </w:rPr>
          <w:t xml:space="preserve">Port</w:t>
        </w:r>
        <w:r>
          <w:rPr>
            <w:rStyle w:val="Hyperlink"/>
          </w:rPr>
          <w:t xml:space="preserve"> </w:t>
        </w:r>
        <w:r>
          <w:rPr>
            <w:rStyle w:val="Hyperlink"/>
          </w:rPr>
          <w:t xml:space="preserve">Implantation</w:t>
        </w:r>
        <w:r>
          <w:rPr>
            <w:rStyle w:val="Hyperlink"/>
          </w:rPr>
          <w:t xml:space="preserve"> </w:t>
        </w:r>
        <w:r>
          <w:rPr>
            <w:rStyle w:val="Hyperlink"/>
          </w:rPr>
          <w:t xml:space="preserve">(</w:t>
        </w:r>
        <w:r>
          <w:rPr>
            <w:rStyle w:val="Hyperlink"/>
          </w:rPr>
          <w:t xml:space="preserve">PACSPI</w:t>
        </w:r>
        <w:r>
          <w:rPr>
            <w:rStyle w:val="Hyperlink"/>
          </w:rPr>
          <w:t xml:space="preserve"> </w:t>
        </w:r>
        <w:r>
          <w:rPr>
            <w:rStyle w:val="Hyperlink"/>
          </w:rPr>
          <w:t xml:space="preserve">2)—</w:t>
        </w:r>
        <w:r>
          <w:rPr>
            <w:rStyle w:val="Hyperlink"/>
          </w:rPr>
          <w:t xml:space="preserve">A</w:t>
        </w:r>
        <w:r>
          <w:rPr>
            <w:rStyle w:val="Hyperlink"/>
          </w:rPr>
          <w:t xml:space="preserve"> </w:t>
        </w:r>
        <w:r>
          <w:rPr>
            <w:rStyle w:val="Hyperlink"/>
          </w:rPr>
          <w:t xml:space="preserve">Randomised</w:t>
        </w:r>
        <w:r>
          <w:rPr>
            <w:rStyle w:val="Hyperlink"/>
          </w:rPr>
          <w:t xml:space="preserve"> </w:t>
        </w:r>
        <w:r>
          <w:rPr>
            <w:rStyle w:val="Hyperlink"/>
          </w:rPr>
          <w:t xml:space="preserve">Clinical</w:t>
        </w:r>
        <w:r>
          <w:rPr>
            <w:rStyle w:val="Hyperlink"/>
          </w:rPr>
          <w:t xml:space="preserve"> </w:t>
        </w:r>
        <w:r>
          <w:rPr>
            <w:rStyle w:val="Hyperlink"/>
          </w:rPr>
          <w:t xml:space="preserve">Trial</w:t>
        </w:r>
      </w:hyperlink>
      <w:r>
        <w:t xml:space="preserve">.</w:t>
      </w:r>
      <w:r>
        <w:t xml:space="preserve"> </w:t>
      </w:r>
      <w:r>
        <w:rPr>
          <w:i/>
          <w:iCs/>
        </w:rPr>
        <w:t xml:space="preserve">Acta Anaesthesiologica Scandinavica</w:t>
      </w:r>
      <w:r>
        <w:t xml:space="preserve"> </w:t>
      </w:r>
      <w:r>
        <w:rPr>
          <w:b/>
          <w:bCs/>
        </w:rPr>
        <w:t xml:space="preserve">70</w:t>
      </w:r>
      <w:r>
        <w:t xml:space="preserve">, e70148 (2026).</w:t>
      </w:r>
    </w:p>
    <w:bookmarkEnd w:id="36"/>
    <w:bookmarkStart w:id="38" w:name="ref-seifert_quality_2026"/>
    <w:p>
      <w:pPr>
        <w:pStyle w:val="Bibliography"/>
      </w:pPr>
      <w:r>
        <w:t xml:space="preserve">9.</w:t>
      </w:r>
      <w:r>
        <w:t xml:space="preserve"> </w:t>
      </w:r>
      <w:r>
        <w:t xml:space="preserve">	</w:t>
      </w:r>
      <w:r>
        <w:t xml:space="preserve">Seifert, S.</w:t>
      </w:r>
      <w:r>
        <w:t xml:space="preserve"> </w:t>
      </w:r>
      <w:r>
        <w:rPr>
          <w:i/>
          <w:iCs/>
        </w:rPr>
        <w:t xml:space="preserve">et al.</w:t>
      </w:r>
      <w:r>
        <w:t xml:space="preserve"> </w:t>
      </w:r>
      <w:hyperlink r:id="rId37">
        <w:r>
          <w:rPr>
            <w:rStyle w:val="Hyperlink"/>
          </w:rPr>
          <w:t xml:space="preserve">Quality of recovery (</w:t>
        </w:r>
        <w:r>
          <w:rPr>
            <w:rStyle w:val="Hyperlink"/>
          </w:rPr>
          <w:t xml:space="preserve">QoR</w:t>
        </w:r>
        <w:r>
          <w:rPr>
            <w:rStyle w:val="Hyperlink"/>
          </w:rPr>
          <w:t xml:space="preserve">-15) after patient-controlled sedation during venous port implantation:</w:t>
        </w:r>
        <w:r>
          <w:rPr>
            <w:rStyle w:val="Hyperlink"/>
          </w:rPr>
          <w:t xml:space="preserve"> </w:t>
        </w:r>
        <w:r>
          <w:rPr>
            <w:rStyle w:val="Hyperlink"/>
          </w:rPr>
          <w:t xml:space="preserve">A</w:t>
        </w:r>
        <w:r>
          <w:rPr>
            <w:rStyle w:val="Hyperlink"/>
          </w:rPr>
          <w:t xml:space="preserve"> </w:t>
        </w:r>
        <w:r>
          <w:rPr>
            <w:rStyle w:val="Hyperlink"/>
          </w:rPr>
          <w:t xml:space="preserve">prespecified substudy of the</w:t>
        </w:r>
        <w:r>
          <w:rPr>
            <w:rStyle w:val="Hyperlink"/>
          </w:rPr>
          <w:t xml:space="preserve"> </w:t>
        </w:r>
        <w:r>
          <w:rPr>
            <w:rStyle w:val="Hyperlink"/>
          </w:rPr>
          <w:t xml:space="preserve">PACSPI</w:t>
        </w:r>
        <w:r>
          <w:rPr>
            <w:rStyle w:val="Hyperlink"/>
          </w:rPr>
          <w:t xml:space="preserve">-2 randomised clinical trial</w:t>
        </w:r>
      </w:hyperlink>
      <w:r>
        <w:t xml:space="preserve">.</w:t>
      </w:r>
      <w:r>
        <w:t xml:space="preserve"> </w:t>
      </w:r>
      <w:r>
        <w:rPr>
          <w:i/>
          <w:iCs/>
        </w:rPr>
        <w:t xml:space="preserve">PLOS ONE</w:t>
      </w:r>
      <w:r>
        <w:t xml:space="preserve"> </w:t>
      </w:r>
      <w:r>
        <w:rPr>
          <w:b/>
          <w:bCs/>
        </w:rPr>
        <w:t xml:space="preserve">21</w:t>
      </w:r>
      <w:r>
        <w:t xml:space="preserve">, e0360479 (2026).</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doi.org/10.1016/j.bjao.2022.100026" TargetMode="External" /><Relationship Type="http://schemas.openxmlformats.org/officeDocument/2006/relationships/hyperlink" Id="rId35" Target="https://doi.org/10.1111/aas.70148" TargetMode="External" /><Relationship Type="http://schemas.openxmlformats.org/officeDocument/2006/relationships/hyperlink" Id="rId37" Target="https://doi.org/10.1371/journal.pone.0360479" TargetMode="External" /></Relationships>
</file>

<file path=word/_rels/footnotes.xml.rels><?xml version="1.0" encoding="UTF-8"?><Relationships xmlns="http://schemas.openxmlformats.org/package/2006/relationships"><Relationship Type="http://schemas.openxmlformats.org/officeDocument/2006/relationships/hyperlink" Id="rId33" Target="https://doi.org/10.1016/j.bjao.2022.100026" TargetMode="External" /><Relationship Type="http://schemas.openxmlformats.org/officeDocument/2006/relationships/hyperlink" Id="rId35" Target="https://doi.org/10.1111/aas.70148" TargetMode="External" /><Relationship Type="http://schemas.openxmlformats.org/officeDocument/2006/relationships/hyperlink" Id="rId37" Target="https://doi.org/10.1371/journal.pone.036047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Patientkontrollerad sedering (PCS) med propofol vid inläggning av subkutan venport</dc:title>
  <dc:creator/>
  <cp:keywords/>
  <dcterms:created xsi:type="dcterms:W3CDTF">2026-10-16T08:29:46Z</dcterms:created>
  <dcterms:modified xsi:type="dcterms:W3CDTF">2026-10-16T08:29:46Z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../bibliography.bib</vt:lpwstr>
  </property>
  <property fmtid="{D5CDD505-2E9C-101B-9397-08002B2CF9AE}" pid="4" name="csl">
    <vt:lpwstr>../nature.csl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