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B141" w14:textId="77777777" w:rsidR="005474AC" w:rsidRDefault="00A04480" w:rsidP="00BF4164">
      <w:pPr>
        <w:pStyle w:val="Title"/>
      </w:pPr>
      <w:r>
        <w:t>Letter to editor</w:t>
      </w:r>
    </w:p>
    <w:p w14:paraId="1428F012" w14:textId="77777777" w:rsidR="005474AC" w:rsidRDefault="00A04480" w:rsidP="00BF4164">
      <w:pPr>
        <w:pStyle w:val="Author"/>
        <w:spacing w:after="0"/>
      </w:pPr>
      <w:r>
        <w:t>Siddarth David</w:t>
      </w:r>
    </w:p>
    <w:p w14:paraId="018E93C5" w14:textId="77777777" w:rsidR="005474AC" w:rsidRDefault="00A04480" w:rsidP="00BF4164">
      <w:pPr>
        <w:pStyle w:val="Author"/>
        <w:spacing w:after="0"/>
      </w:pPr>
      <w:r>
        <w:t>Chandrika Verma</w:t>
      </w:r>
    </w:p>
    <w:p w14:paraId="36FB34C1" w14:textId="77777777" w:rsidR="00BF4164" w:rsidRDefault="00BF4164" w:rsidP="00BF4164">
      <w:pPr>
        <w:pStyle w:val="FirstParagraph"/>
        <w:jc w:val="both"/>
      </w:pPr>
    </w:p>
    <w:p w14:paraId="55C7AD01" w14:textId="64E2E056" w:rsidR="005474AC" w:rsidRDefault="00A04480" w:rsidP="00BF4164">
      <w:pPr>
        <w:pStyle w:val="FirstParagraph"/>
        <w:jc w:val="both"/>
      </w:pPr>
      <w:r>
        <w:t>A recent paper from Malawi compared the risk of mortality among vehicular trauma patients transported by different modes of transport [1]. After adjusting for injury severity, the paper reported higher risk of mortality among patients transferred by police</w:t>
      </w:r>
      <w:r>
        <w:t xml:space="preserve"> vehicles. India, with a large trauma burden, has limited availability of ambulances consequently, other forms of transport, such as police vans are used [</w:t>
      </w:r>
      <w:r>
        <w:t>2</w:t>
      </w:r>
      <w:r w:rsidR="00BF4164">
        <w:t>-4</w:t>
      </w:r>
      <w:r>
        <w:t>].</w:t>
      </w:r>
    </w:p>
    <w:p w14:paraId="6844E14B" w14:textId="7AD1CB6D" w:rsidR="005474AC" w:rsidRDefault="00A04480" w:rsidP="00BF4164">
      <w:pPr>
        <w:pStyle w:val="BodyText"/>
        <w:jc w:val="both"/>
      </w:pPr>
      <w:r>
        <w:t>We used the TITCO-India data set, based on data from four tertiary care hospitals across urban In</w:t>
      </w:r>
      <w:r>
        <w:t>dia (collected between 2013-2015), to measure the risk of mortality by mode of transportation to the hospital in directly admitted vehicular trauma patients. We estimated the relative risk of mortality using a Poisson multivariate regression. We adjusted f</w:t>
      </w:r>
      <w:r>
        <w:t>or age, sex, and trauma severity using Injury Severity Score (ISS).</w:t>
      </w:r>
    </w:p>
    <w:tbl>
      <w:tblPr>
        <w:tblStyle w:val="PlainTable5"/>
        <w:tblW w:w="5616" w:type="dxa"/>
        <w:tblLook w:val="04A0" w:firstRow="1" w:lastRow="0" w:firstColumn="1" w:lastColumn="0" w:noHBand="0" w:noVBand="1"/>
      </w:tblPr>
      <w:tblGrid>
        <w:gridCol w:w="2461"/>
        <w:gridCol w:w="2957"/>
        <w:gridCol w:w="198"/>
      </w:tblGrid>
      <w:tr w:rsidR="00BA24D6" w:rsidRPr="00BA24D6" w14:paraId="2339BF69" w14:textId="77777777" w:rsidTr="001D28AE">
        <w:trPr>
          <w:gridAfter w:val="1"/>
          <w:cnfStyle w:val="100000000000" w:firstRow="1" w:lastRow="0" w:firstColumn="0" w:lastColumn="0" w:oddVBand="0" w:evenVBand="0" w:oddHBand="0" w:evenHBand="0" w:firstRowFirstColumn="0" w:firstRowLastColumn="0" w:lastRowFirstColumn="0" w:lastRowLastColumn="0"/>
          <w:wAfter w:w="198" w:type="dxa"/>
          <w:trHeight w:val="461"/>
        </w:trPr>
        <w:tc>
          <w:tcPr>
            <w:cnfStyle w:val="001000000100" w:firstRow="0" w:lastRow="0" w:firstColumn="1" w:lastColumn="0" w:oddVBand="0" w:evenVBand="0" w:oddHBand="0" w:evenHBand="0" w:firstRowFirstColumn="1" w:firstRowLastColumn="0" w:lastRowFirstColumn="0" w:lastRowLastColumn="0"/>
            <w:tcW w:w="5418" w:type="dxa"/>
            <w:gridSpan w:val="2"/>
            <w:hideMark/>
          </w:tcPr>
          <w:p w14:paraId="1A0DEC95" w14:textId="30ABB714" w:rsidR="00BA24D6" w:rsidRPr="00BA24D6" w:rsidRDefault="00BA24D6" w:rsidP="00BF4164">
            <w:pPr>
              <w:ind w:right="-120"/>
              <w:jc w:val="both"/>
              <w:rPr>
                <w:rFonts w:asciiTheme="minorHAnsi" w:eastAsia="Times New Roman" w:hAnsiTheme="minorHAnsi" w:cs="Helvetica"/>
                <w:sz w:val="24"/>
                <w:lang w:val="en-IN" w:eastAsia="en-IN"/>
              </w:rPr>
            </w:pPr>
            <w:r w:rsidRPr="00BA24D6">
              <w:rPr>
                <w:rFonts w:asciiTheme="minorHAnsi" w:eastAsia="Times New Roman" w:hAnsiTheme="minorHAnsi" w:cs="Helvetica"/>
                <w:sz w:val="24"/>
                <w:lang w:val="en-IN" w:eastAsia="en-IN"/>
              </w:rPr>
              <w:t xml:space="preserve">Table 1: Demographic </w:t>
            </w:r>
            <w:r w:rsidRPr="00BA24D6">
              <w:rPr>
                <w:rFonts w:asciiTheme="minorHAnsi" w:eastAsia="Times New Roman" w:hAnsiTheme="minorHAnsi" w:cs="Helvetica"/>
                <w:sz w:val="24"/>
                <w:lang w:val="en-IN" w:eastAsia="en-IN"/>
              </w:rPr>
              <w:t>Characteristics</w:t>
            </w:r>
            <w:r w:rsidRPr="00BA24D6">
              <w:rPr>
                <w:rFonts w:asciiTheme="minorHAnsi" w:eastAsia="Times New Roman" w:hAnsiTheme="minorHAnsi" w:cs="Helvetica"/>
                <w:sz w:val="24"/>
                <w:lang w:val="en-IN" w:eastAsia="en-IN"/>
              </w:rPr>
              <w:t xml:space="preserve"> of directly admitted Vehicular Trauma in TITCO-India Data set</w:t>
            </w:r>
          </w:p>
        </w:tc>
      </w:tr>
      <w:tr w:rsidR="00BA24D6" w:rsidRPr="00BA24D6" w14:paraId="6B2E9A58" w14:textId="77777777" w:rsidTr="001D28AE">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461" w:type="dxa"/>
            <w:hideMark/>
          </w:tcPr>
          <w:p w14:paraId="7970EA38" w14:textId="77777777" w:rsidR="00BA24D6" w:rsidRPr="00BA24D6" w:rsidRDefault="00BA24D6" w:rsidP="00BF4164">
            <w:pPr>
              <w:jc w:val="both"/>
              <w:rPr>
                <w:rFonts w:asciiTheme="minorHAnsi" w:eastAsia="Times New Roman" w:hAnsiTheme="minorHAnsi" w:cs="Helvetica"/>
                <w:b/>
                <w:bCs/>
                <w:color w:val="333333"/>
                <w:sz w:val="24"/>
                <w:lang w:val="en-IN" w:eastAsia="en-IN"/>
              </w:rPr>
            </w:pPr>
            <w:r w:rsidRPr="00BA24D6">
              <w:rPr>
                <w:rFonts w:asciiTheme="minorHAnsi" w:eastAsia="Times New Roman" w:hAnsiTheme="minorHAnsi" w:cs="Helvetica"/>
                <w:b/>
                <w:bCs/>
                <w:color w:val="333333"/>
                <w:sz w:val="24"/>
                <w:lang w:val="en-IN" w:eastAsia="en-IN"/>
              </w:rPr>
              <w:t>Variable</w:t>
            </w:r>
          </w:p>
        </w:tc>
        <w:tc>
          <w:tcPr>
            <w:tcW w:w="3155" w:type="dxa"/>
            <w:gridSpan w:val="2"/>
            <w:hideMark/>
          </w:tcPr>
          <w:p w14:paraId="7BD666B1" w14:textId="77777777" w:rsidR="00BA24D6" w:rsidRPr="00BA24D6" w:rsidRDefault="00BA24D6" w:rsidP="00BF4164">
            <w:pPr>
              <w:jc w:val="both"/>
              <w:cnfStyle w:val="000000100000" w:firstRow="0" w:lastRow="0" w:firstColumn="0" w:lastColumn="0" w:oddVBand="0" w:evenVBand="0" w:oddHBand="1" w:evenHBand="0" w:firstRowFirstColumn="0" w:firstRowLastColumn="0" w:lastRowFirstColumn="0" w:lastRowLastColumn="0"/>
              <w:rPr>
                <w:rFonts w:eastAsia="Times New Roman" w:cs="Helvetica"/>
                <w:b/>
                <w:bCs/>
                <w:color w:val="333333"/>
                <w:lang w:val="en-IN" w:eastAsia="en-IN"/>
              </w:rPr>
            </w:pPr>
            <w:r w:rsidRPr="00BA24D6">
              <w:rPr>
                <w:rFonts w:eastAsia="Times New Roman" w:cs="Helvetica"/>
                <w:b/>
                <w:bCs/>
                <w:color w:val="333333"/>
                <w:lang w:val="en-IN" w:eastAsia="en-IN"/>
              </w:rPr>
              <w:t>Summary</w:t>
            </w:r>
          </w:p>
        </w:tc>
      </w:tr>
      <w:tr w:rsidR="00BA24D6" w:rsidRPr="00BA24D6" w14:paraId="33F7A3C6" w14:textId="77777777" w:rsidTr="001D28AE">
        <w:trPr>
          <w:trHeight w:val="230"/>
        </w:trPr>
        <w:tc>
          <w:tcPr>
            <w:cnfStyle w:val="001000000000" w:firstRow="0" w:lastRow="0" w:firstColumn="1" w:lastColumn="0" w:oddVBand="0" w:evenVBand="0" w:oddHBand="0" w:evenHBand="0" w:firstRowFirstColumn="0" w:firstRowLastColumn="0" w:lastRowFirstColumn="0" w:lastRowLastColumn="0"/>
            <w:tcW w:w="2461" w:type="dxa"/>
            <w:hideMark/>
          </w:tcPr>
          <w:p w14:paraId="75E42085" w14:textId="77777777" w:rsidR="00BA24D6" w:rsidRPr="00BA24D6" w:rsidRDefault="00BA24D6" w:rsidP="00BF4164">
            <w:pPr>
              <w:jc w:val="both"/>
              <w:rPr>
                <w:rFonts w:asciiTheme="minorHAnsi" w:eastAsia="Times New Roman" w:hAnsiTheme="minorHAnsi" w:cs="Helvetica"/>
                <w:color w:val="333333"/>
                <w:sz w:val="24"/>
                <w:lang w:val="en-IN" w:eastAsia="en-IN"/>
              </w:rPr>
            </w:pPr>
            <w:r w:rsidRPr="00BA24D6">
              <w:rPr>
                <w:rFonts w:asciiTheme="minorHAnsi" w:eastAsia="Times New Roman" w:hAnsiTheme="minorHAnsi" w:cs="Helvetica"/>
                <w:color w:val="333333"/>
                <w:sz w:val="24"/>
                <w:lang w:val="en-IN" w:eastAsia="en-IN"/>
              </w:rPr>
              <w:t>Gender (female %)</w:t>
            </w:r>
          </w:p>
        </w:tc>
        <w:tc>
          <w:tcPr>
            <w:tcW w:w="3155" w:type="dxa"/>
            <w:gridSpan w:val="2"/>
            <w:hideMark/>
          </w:tcPr>
          <w:p w14:paraId="4BC08693" w14:textId="77777777" w:rsidR="00BA24D6" w:rsidRPr="00BA24D6" w:rsidRDefault="00BA24D6" w:rsidP="00BF4164">
            <w:pPr>
              <w:ind w:right="-660"/>
              <w:jc w:val="both"/>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13.66</w:t>
            </w:r>
          </w:p>
        </w:tc>
      </w:tr>
      <w:tr w:rsidR="00BA24D6" w:rsidRPr="00BA24D6" w14:paraId="41B34F5F" w14:textId="77777777" w:rsidTr="001D28AE">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461" w:type="dxa"/>
            <w:hideMark/>
          </w:tcPr>
          <w:p w14:paraId="3E52ABC3" w14:textId="77777777" w:rsidR="00BA24D6" w:rsidRPr="00BA24D6" w:rsidRDefault="00BA24D6" w:rsidP="00BF4164">
            <w:pPr>
              <w:jc w:val="both"/>
              <w:rPr>
                <w:rFonts w:asciiTheme="minorHAnsi" w:eastAsia="Times New Roman" w:hAnsiTheme="minorHAnsi" w:cs="Helvetica"/>
                <w:color w:val="333333"/>
                <w:sz w:val="24"/>
                <w:lang w:val="en-IN" w:eastAsia="en-IN"/>
              </w:rPr>
            </w:pPr>
            <w:r w:rsidRPr="00BA24D6">
              <w:rPr>
                <w:rFonts w:asciiTheme="minorHAnsi" w:eastAsia="Times New Roman" w:hAnsiTheme="minorHAnsi" w:cs="Helvetica"/>
                <w:color w:val="333333"/>
                <w:sz w:val="24"/>
                <w:lang w:val="en-IN" w:eastAsia="en-IN"/>
              </w:rPr>
              <w:t>Age, years, mean (SD)</w:t>
            </w:r>
          </w:p>
        </w:tc>
        <w:tc>
          <w:tcPr>
            <w:tcW w:w="3155" w:type="dxa"/>
            <w:gridSpan w:val="2"/>
            <w:hideMark/>
          </w:tcPr>
          <w:p w14:paraId="04942099" w14:textId="77777777" w:rsidR="00BA24D6" w:rsidRPr="00BA24D6" w:rsidRDefault="00BA24D6" w:rsidP="00BF4164">
            <w:pPr>
              <w:jc w:val="both"/>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35.4 (12.9)</w:t>
            </w:r>
          </w:p>
        </w:tc>
      </w:tr>
      <w:tr w:rsidR="00BA24D6" w:rsidRPr="00BA24D6" w14:paraId="72CE0F9E" w14:textId="77777777" w:rsidTr="001D28AE">
        <w:trPr>
          <w:trHeight w:val="230"/>
        </w:trPr>
        <w:tc>
          <w:tcPr>
            <w:cnfStyle w:val="001000000000" w:firstRow="0" w:lastRow="0" w:firstColumn="1" w:lastColumn="0" w:oddVBand="0" w:evenVBand="0" w:oddHBand="0" w:evenHBand="0" w:firstRowFirstColumn="0" w:firstRowLastColumn="0" w:lastRowFirstColumn="0" w:lastRowLastColumn="0"/>
            <w:tcW w:w="2461" w:type="dxa"/>
            <w:hideMark/>
          </w:tcPr>
          <w:p w14:paraId="16F8B56C" w14:textId="77777777" w:rsidR="00BA24D6" w:rsidRPr="00BA24D6" w:rsidRDefault="00BA24D6" w:rsidP="00BF4164">
            <w:pPr>
              <w:jc w:val="both"/>
              <w:rPr>
                <w:rFonts w:asciiTheme="minorHAnsi" w:eastAsia="Times New Roman" w:hAnsiTheme="minorHAnsi" w:cs="Helvetica"/>
                <w:color w:val="333333"/>
                <w:sz w:val="24"/>
                <w:lang w:val="en-IN" w:eastAsia="en-IN"/>
              </w:rPr>
            </w:pPr>
            <w:r w:rsidRPr="00BA24D6">
              <w:rPr>
                <w:rFonts w:asciiTheme="minorHAnsi" w:eastAsia="Times New Roman" w:hAnsiTheme="minorHAnsi" w:cs="Helvetica"/>
                <w:color w:val="333333"/>
                <w:sz w:val="24"/>
                <w:lang w:val="en-IN" w:eastAsia="en-IN"/>
              </w:rPr>
              <w:t>ISS, mean (SD)</w:t>
            </w:r>
          </w:p>
        </w:tc>
        <w:tc>
          <w:tcPr>
            <w:tcW w:w="3155" w:type="dxa"/>
            <w:gridSpan w:val="2"/>
            <w:hideMark/>
          </w:tcPr>
          <w:p w14:paraId="5E54B5C4" w14:textId="77777777" w:rsidR="00BA24D6" w:rsidRPr="00BA24D6" w:rsidRDefault="00BA24D6" w:rsidP="00BF4164">
            <w:pPr>
              <w:jc w:val="both"/>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11.6 (7.01)</w:t>
            </w:r>
          </w:p>
        </w:tc>
      </w:tr>
      <w:tr w:rsidR="00BA24D6" w:rsidRPr="00BA24D6" w14:paraId="507CAFF4" w14:textId="77777777" w:rsidTr="001D28A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461" w:type="dxa"/>
            <w:hideMark/>
          </w:tcPr>
          <w:p w14:paraId="663A246C" w14:textId="77777777" w:rsidR="00BA24D6" w:rsidRPr="00BA24D6" w:rsidRDefault="00BA24D6" w:rsidP="00BF4164">
            <w:pPr>
              <w:jc w:val="both"/>
              <w:rPr>
                <w:rFonts w:asciiTheme="minorHAnsi" w:eastAsia="Times New Roman" w:hAnsiTheme="minorHAnsi" w:cs="Helvetica"/>
                <w:b/>
                <w:bCs/>
                <w:color w:val="333333"/>
                <w:sz w:val="24"/>
                <w:lang w:val="en-IN" w:eastAsia="en-IN"/>
              </w:rPr>
            </w:pPr>
            <w:r w:rsidRPr="00BA24D6">
              <w:rPr>
                <w:rFonts w:asciiTheme="minorHAnsi" w:eastAsia="Times New Roman" w:hAnsiTheme="minorHAnsi" w:cs="Helvetica"/>
                <w:b/>
                <w:bCs/>
                <w:color w:val="333333"/>
                <w:sz w:val="24"/>
                <w:lang w:val="en-IN" w:eastAsia="en-IN"/>
              </w:rPr>
              <w:t>Mortality (%)</w:t>
            </w:r>
          </w:p>
        </w:tc>
        <w:tc>
          <w:tcPr>
            <w:tcW w:w="3155" w:type="dxa"/>
            <w:gridSpan w:val="2"/>
            <w:hideMark/>
          </w:tcPr>
          <w:p w14:paraId="5F941F2B" w14:textId="77777777" w:rsidR="00BA24D6" w:rsidRPr="00BA24D6" w:rsidRDefault="00BA24D6" w:rsidP="00BF4164">
            <w:pPr>
              <w:jc w:val="both"/>
              <w:cnfStyle w:val="000000100000" w:firstRow="0" w:lastRow="0" w:firstColumn="0" w:lastColumn="0" w:oddVBand="0" w:evenVBand="0" w:oddHBand="1" w:evenHBand="0" w:firstRowFirstColumn="0" w:firstRowLastColumn="0" w:lastRowFirstColumn="0" w:lastRowLastColumn="0"/>
              <w:rPr>
                <w:rFonts w:eastAsia="Times New Roman" w:cs="Helvetica"/>
                <w:b/>
                <w:bCs/>
                <w:color w:val="333333"/>
                <w:lang w:val="en-IN" w:eastAsia="en-IN"/>
              </w:rPr>
            </w:pPr>
            <w:r w:rsidRPr="00BA24D6">
              <w:rPr>
                <w:rFonts w:eastAsia="Times New Roman" w:cs="Helvetica"/>
                <w:b/>
                <w:bCs/>
                <w:color w:val="333333"/>
                <w:lang w:val="en-IN" w:eastAsia="en-IN"/>
              </w:rPr>
              <w:t>15.21</w:t>
            </w:r>
          </w:p>
        </w:tc>
      </w:tr>
    </w:tbl>
    <w:p w14:paraId="6A4A05FF" w14:textId="1ABDDE34" w:rsidR="005474AC" w:rsidRDefault="00A04480" w:rsidP="00BF4164">
      <w:pPr>
        <w:pStyle w:val="BodyText"/>
        <w:jc w:val="both"/>
      </w:pPr>
      <w:r>
        <w:t>Of the 16000 patients in the TITCO-India data set, 1668 were adult vehicular trauma patients who were directly ad</w:t>
      </w:r>
      <w:r>
        <w:t>mitted to the study sites. of these complete data set was available for 1157 patients.A brief demographic profile the study cohort is given in Table 1. The overall mortality was 15.21 per cent. The most common mode of transport used for direct vehicular tr</w:t>
      </w:r>
      <w:r>
        <w:t>auma patients was police vehicles (39.59%), followed by ambulance (23.77%), private vehicles (21.87%), and public transport such as motor rickshaws and cars (14.52%).</w:t>
      </w:r>
    </w:p>
    <w:tbl>
      <w:tblPr>
        <w:tblStyle w:val="PlainTable5"/>
        <w:tblW w:w="8456" w:type="dxa"/>
        <w:tblLook w:val="04A0" w:firstRow="1" w:lastRow="0" w:firstColumn="1" w:lastColumn="0" w:noHBand="0" w:noVBand="1"/>
      </w:tblPr>
      <w:tblGrid>
        <w:gridCol w:w="2898"/>
        <w:gridCol w:w="2857"/>
        <w:gridCol w:w="2453"/>
        <w:gridCol w:w="248"/>
      </w:tblGrid>
      <w:tr w:rsidR="001D28AE" w:rsidRPr="00BA24D6" w14:paraId="39B470B1" w14:textId="77777777" w:rsidTr="000631CD">
        <w:trPr>
          <w:gridAfter w:val="1"/>
          <w:cnfStyle w:val="100000000000" w:firstRow="1" w:lastRow="0" w:firstColumn="0" w:lastColumn="0" w:oddVBand="0" w:evenVBand="0" w:oddHBand="0" w:evenHBand="0" w:firstRowFirstColumn="0" w:firstRowLastColumn="0" w:lastRowFirstColumn="0" w:lastRowLastColumn="0"/>
          <w:wAfter w:w="248" w:type="dxa"/>
        </w:trPr>
        <w:tc>
          <w:tcPr>
            <w:cnfStyle w:val="001000000100" w:firstRow="0" w:lastRow="0" w:firstColumn="1" w:lastColumn="0" w:oddVBand="0" w:evenVBand="0" w:oddHBand="0" w:evenHBand="0" w:firstRowFirstColumn="1" w:firstRowLastColumn="0" w:lastRowFirstColumn="0" w:lastRowLastColumn="0"/>
            <w:tcW w:w="8208" w:type="dxa"/>
            <w:gridSpan w:val="3"/>
            <w:tcBorders>
              <w:bottom w:val="single" w:sz="4" w:space="0" w:color="auto"/>
              <w:right w:val="none" w:sz="0" w:space="0" w:color="auto"/>
            </w:tcBorders>
            <w:hideMark/>
          </w:tcPr>
          <w:p w14:paraId="26B7C50F" w14:textId="77777777" w:rsidR="001D28AE" w:rsidRDefault="001D28AE" w:rsidP="00BF4164">
            <w:pPr>
              <w:jc w:val="both"/>
              <w:rPr>
                <w:rFonts w:eastAsia="Times New Roman" w:cs="Helvetica"/>
                <w:i w:val="0"/>
                <w:iCs w:val="0"/>
                <w:lang w:val="en-IN" w:eastAsia="en-IN"/>
              </w:rPr>
            </w:pPr>
          </w:p>
          <w:p w14:paraId="730FA185" w14:textId="77777777" w:rsidR="001D28AE" w:rsidRPr="00BA24D6" w:rsidRDefault="001D28AE" w:rsidP="00BF4164">
            <w:pPr>
              <w:jc w:val="both"/>
              <w:rPr>
                <w:rFonts w:asciiTheme="minorHAnsi" w:eastAsia="Times New Roman" w:hAnsiTheme="minorHAnsi" w:cs="Helvetica"/>
                <w:sz w:val="24"/>
                <w:lang w:val="en-IN" w:eastAsia="en-IN"/>
              </w:rPr>
            </w:pPr>
            <w:r w:rsidRPr="00BA24D6">
              <w:rPr>
                <w:rFonts w:asciiTheme="minorHAnsi" w:eastAsia="Times New Roman" w:hAnsiTheme="minorHAnsi" w:cs="Helvetica"/>
                <w:sz w:val="24"/>
                <w:lang w:val="en-IN" w:eastAsia="en-IN"/>
              </w:rPr>
              <w:t>Table 2: Poisson multivariate regression for mortality adjusted for Age, sex, ISS</w:t>
            </w:r>
          </w:p>
        </w:tc>
      </w:tr>
      <w:tr w:rsidR="001D28AE" w:rsidRPr="00BA24D6" w14:paraId="485CA5BE" w14:textId="77777777" w:rsidTr="00063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5A53F610" w14:textId="77777777" w:rsidR="001D28AE" w:rsidRPr="00BA24D6" w:rsidRDefault="001D28AE" w:rsidP="00BF4164">
            <w:pPr>
              <w:jc w:val="both"/>
              <w:rPr>
                <w:rFonts w:asciiTheme="minorHAnsi" w:eastAsia="Times New Roman" w:hAnsiTheme="minorHAnsi" w:cs="Helvetica"/>
                <w:b/>
                <w:bCs/>
                <w:color w:val="333333"/>
                <w:sz w:val="24"/>
                <w:lang w:val="en-IN" w:eastAsia="en-IN"/>
              </w:rPr>
            </w:pPr>
            <w:r w:rsidRPr="00BA24D6">
              <w:rPr>
                <w:rFonts w:asciiTheme="minorHAnsi" w:eastAsia="Times New Roman" w:hAnsiTheme="minorHAnsi" w:cs="Helvetica"/>
                <w:b/>
                <w:bCs/>
                <w:color w:val="333333"/>
                <w:sz w:val="24"/>
                <w:lang w:val="en-IN" w:eastAsia="en-IN"/>
              </w:rPr>
              <w:t>Mode</w:t>
            </w:r>
            <w:r>
              <w:rPr>
                <w:rFonts w:eastAsia="Times New Roman" w:cs="Helvetica"/>
                <w:b/>
                <w:bCs/>
                <w:color w:val="333333"/>
                <w:lang w:val="en-IN" w:eastAsia="en-IN"/>
              </w:rPr>
              <w:t xml:space="preserve"> </w:t>
            </w:r>
            <w:r w:rsidRPr="00BA24D6">
              <w:rPr>
                <w:rFonts w:asciiTheme="minorHAnsi" w:eastAsia="Times New Roman" w:hAnsiTheme="minorHAnsi" w:cs="Helvetica"/>
                <w:b/>
                <w:bCs/>
                <w:color w:val="333333"/>
                <w:sz w:val="24"/>
                <w:lang w:val="en-IN" w:eastAsia="en-IN"/>
              </w:rPr>
              <w:t>of</w:t>
            </w:r>
            <w:r>
              <w:rPr>
                <w:rFonts w:eastAsia="Times New Roman" w:cs="Helvetica"/>
                <w:b/>
                <w:bCs/>
                <w:color w:val="333333"/>
                <w:lang w:val="en-IN" w:eastAsia="en-IN"/>
              </w:rPr>
              <w:t xml:space="preserve"> </w:t>
            </w:r>
            <w:r w:rsidRPr="00BA24D6">
              <w:rPr>
                <w:rFonts w:asciiTheme="minorHAnsi" w:eastAsia="Times New Roman" w:hAnsiTheme="minorHAnsi" w:cs="Helvetica"/>
                <w:b/>
                <w:bCs/>
                <w:color w:val="333333"/>
                <w:sz w:val="24"/>
                <w:lang w:val="en-IN" w:eastAsia="en-IN"/>
              </w:rPr>
              <w:t>Transport</w:t>
            </w:r>
          </w:p>
        </w:tc>
        <w:tc>
          <w:tcPr>
            <w:tcW w:w="2857" w:type="dxa"/>
            <w:hideMark/>
          </w:tcPr>
          <w:p w14:paraId="6213B3C1" w14:textId="77777777" w:rsidR="001D28AE" w:rsidRPr="00BA24D6" w:rsidRDefault="001D28AE" w:rsidP="00BF4164">
            <w:pPr>
              <w:jc w:val="both"/>
              <w:cnfStyle w:val="000000100000" w:firstRow="0" w:lastRow="0" w:firstColumn="0" w:lastColumn="0" w:oddVBand="0" w:evenVBand="0" w:oddHBand="1" w:evenHBand="0" w:firstRowFirstColumn="0" w:firstRowLastColumn="0" w:lastRowFirstColumn="0" w:lastRowLastColumn="0"/>
              <w:rPr>
                <w:rFonts w:eastAsia="Times New Roman" w:cs="Helvetica"/>
                <w:b/>
                <w:bCs/>
                <w:color w:val="333333"/>
                <w:lang w:val="en-IN" w:eastAsia="en-IN"/>
              </w:rPr>
            </w:pPr>
            <w:r w:rsidRPr="00BA24D6">
              <w:rPr>
                <w:rFonts w:eastAsia="Times New Roman" w:cs="Helvetica"/>
                <w:b/>
                <w:bCs/>
                <w:color w:val="333333"/>
                <w:lang w:val="en-IN" w:eastAsia="en-IN"/>
              </w:rPr>
              <w:t>Patients Transported</w:t>
            </w:r>
          </w:p>
        </w:tc>
        <w:tc>
          <w:tcPr>
            <w:tcW w:w="2701" w:type="dxa"/>
            <w:gridSpan w:val="2"/>
            <w:hideMark/>
          </w:tcPr>
          <w:p w14:paraId="28E3DB31" w14:textId="77777777" w:rsidR="001D28AE" w:rsidRPr="00BA24D6" w:rsidRDefault="001D28AE" w:rsidP="00BF4164">
            <w:pPr>
              <w:jc w:val="both"/>
              <w:cnfStyle w:val="000000100000" w:firstRow="0" w:lastRow="0" w:firstColumn="0" w:lastColumn="0" w:oddVBand="0" w:evenVBand="0" w:oddHBand="1" w:evenHBand="0" w:firstRowFirstColumn="0" w:firstRowLastColumn="0" w:lastRowFirstColumn="0" w:lastRowLastColumn="0"/>
              <w:rPr>
                <w:rFonts w:eastAsia="Times New Roman" w:cs="Helvetica"/>
                <w:b/>
                <w:bCs/>
                <w:color w:val="333333"/>
                <w:lang w:val="en-IN" w:eastAsia="en-IN"/>
              </w:rPr>
            </w:pPr>
            <w:r w:rsidRPr="00BA24D6">
              <w:rPr>
                <w:rFonts w:eastAsia="Times New Roman" w:cs="Helvetica"/>
                <w:b/>
                <w:bCs/>
                <w:color w:val="333333"/>
                <w:lang w:val="en-IN" w:eastAsia="en-IN"/>
              </w:rPr>
              <w:t>Adjusted</w:t>
            </w:r>
            <w:r w:rsidRPr="001D28AE">
              <w:rPr>
                <w:rFonts w:eastAsia="Times New Roman" w:cs="Helvetica"/>
                <w:b/>
                <w:bCs/>
                <w:color w:val="333333"/>
                <w:lang w:val="en-IN" w:eastAsia="en-IN"/>
              </w:rPr>
              <w:t xml:space="preserve"> </w:t>
            </w:r>
            <w:r w:rsidRPr="00BA24D6">
              <w:rPr>
                <w:rFonts w:eastAsia="Times New Roman" w:cs="Helvetica"/>
                <w:b/>
                <w:bCs/>
                <w:color w:val="333333"/>
                <w:lang w:val="en-IN" w:eastAsia="en-IN"/>
              </w:rPr>
              <w:t>Relative</w:t>
            </w:r>
            <w:r w:rsidRPr="001D28AE">
              <w:rPr>
                <w:rFonts w:eastAsia="Times New Roman" w:cs="Helvetica"/>
                <w:b/>
                <w:bCs/>
                <w:color w:val="333333"/>
                <w:lang w:val="en-IN" w:eastAsia="en-IN"/>
              </w:rPr>
              <w:t xml:space="preserve"> </w:t>
            </w:r>
            <w:r w:rsidRPr="00BA24D6">
              <w:rPr>
                <w:rFonts w:eastAsia="Times New Roman" w:cs="Helvetica"/>
                <w:b/>
                <w:bCs/>
                <w:color w:val="333333"/>
                <w:lang w:val="en-IN" w:eastAsia="en-IN"/>
              </w:rPr>
              <w:t>Risk</w:t>
            </w:r>
          </w:p>
        </w:tc>
      </w:tr>
      <w:tr w:rsidR="001D28AE" w:rsidRPr="00BA24D6" w14:paraId="00818B20" w14:textId="77777777" w:rsidTr="000631CD">
        <w:tc>
          <w:tcPr>
            <w:cnfStyle w:val="001000000000" w:firstRow="0" w:lastRow="0" w:firstColumn="1" w:lastColumn="0" w:oddVBand="0" w:evenVBand="0" w:oddHBand="0" w:evenHBand="0" w:firstRowFirstColumn="0" w:firstRowLastColumn="0" w:lastRowFirstColumn="0" w:lastRowLastColumn="0"/>
            <w:tcW w:w="2898" w:type="dxa"/>
            <w:hideMark/>
          </w:tcPr>
          <w:p w14:paraId="254F33AE" w14:textId="77777777" w:rsidR="001D28AE" w:rsidRPr="00BA24D6" w:rsidRDefault="001D28AE" w:rsidP="00BF4164">
            <w:pPr>
              <w:jc w:val="both"/>
              <w:rPr>
                <w:rFonts w:asciiTheme="minorHAnsi" w:eastAsia="Times New Roman" w:hAnsiTheme="minorHAnsi" w:cs="Helvetica"/>
                <w:color w:val="333333"/>
                <w:sz w:val="24"/>
                <w:lang w:val="en-IN" w:eastAsia="en-IN"/>
              </w:rPr>
            </w:pPr>
            <w:r w:rsidRPr="00BA24D6">
              <w:rPr>
                <w:rFonts w:asciiTheme="minorHAnsi" w:eastAsia="Times New Roman" w:hAnsiTheme="minorHAnsi" w:cs="Helvetica"/>
                <w:color w:val="333333"/>
                <w:sz w:val="24"/>
                <w:lang w:val="en-IN" w:eastAsia="en-IN"/>
              </w:rPr>
              <w:t>Ambulance</w:t>
            </w:r>
          </w:p>
        </w:tc>
        <w:tc>
          <w:tcPr>
            <w:tcW w:w="2857" w:type="dxa"/>
            <w:hideMark/>
          </w:tcPr>
          <w:p w14:paraId="6A7E62E4" w14:textId="77777777" w:rsidR="001D28AE" w:rsidRPr="00BA24D6" w:rsidRDefault="001D28AE" w:rsidP="00BF4164">
            <w:pPr>
              <w:jc w:val="both"/>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23.77</w:t>
            </w:r>
          </w:p>
        </w:tc>
        <w:tc>
          <w:tcPr>
            <w:tcW w:w="2701" w:type="dxa"/>
            <w:gridSpan w:val="2"/>
            <w:hideMark/>
          </w:tcPr>
          <w:p w14:paraId="0DA4A603" w14:textId="77777777" w:rsidR="001D28AE" w:rsidRPr="00BA24D6" w:rsidRDefault="001D28AE" w:rsidP="00BF4164">
            <w:pPr>
              <w:jc w:val="both"/>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Ref</w:t>
            </w:r>
          </w:p>
        </w:tc>
      </w:tr>
      <w:tr w:rsidR="001D28AE" w:rsidRPr="00BA24D6" w14:paraId="5F611853" w14:textId="77777777" w:rsidTr="00063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04C2E96D" w14:textId="77777777" w:rsidR="001D28AE" w:rsidRPr="00BA24D6" w:rsidRDefault="001D28AE" w:rsidP="00BF4164">
            <w:pPr>
              <w:jc w:val="both"/>
              <w:rPr>
                <w:rFonts w:asciiTheme="minorHAnsi" w:eastAsia="Times New Roman" w:hAnsiTheme="minorHAnsi" w:cs="Helvetica"/>
                <w:color w:val="333333"/>
                <w:sz w:val="24"/>
                <w:lang w:val="en-IN" w:eastAsia="en-IN"/>
              </w:rPr>
            </w:pPr>
            <w:r w:rsidRPr="00BA24D6">
              <w:rPr>
                <w:rFonts w:asciiTheme="minorHAnsi" w:eastAsia="Times New Roman" w:hAnsiTheme="minorHAnsi" w:cs="Helvetica"/>
                <w:color w:val="333333"/>
                <w:sz w:val="24"/>
                <w:lang w:val="en-IN" w:eastAsia="en-IN"/>
              </w:rPr>
              <w:t>Police Vehicle</w:t>
            </w:r>
          </w:p>
        </w:tc>
        <w:tc>
          <w:tcPr>
            <w:tcW w:w="2857" w:type="dxa"/>
            <w:hideMark/>
          </w:tcPr>
          <w:p w14:paraId="4481A0D0" w14:textId="77777777" w:rsidR="001D28AE" w:rsidRPr="00BA24D6" w:rsidRDefault="001D28AE" w:rsidP="00BF4164">
            <w:pPr>
              <w:jc w:val="both"/>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39.59</w:t>
            </w:r>
          </w:p>
        </w:tc>
        <w:tc>
          <w:tcPr>
            <w:tcW w:w="2701" w:type="dxa"/>
            <w:gridSpan w:val="2"/>
            <w:hideMark/>
          </w:tcPr>
          <w:p w14:paraId="3C0322F6" w14:textId="77777777" w:rsidR="001D28AE" w:rsidRPr="00BA24D6" w:rsidRDefault="001D28AE" w:rsidP="00BF4164">
            <w:pPr>
              <w:jc w:val="both"/>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1.50</w:t>
            </w:r>
          </w:p>
        </w:tc>
      </w:tr>
      <w:tr w:rsidR="001D28AE" w:rsidRPr="00BA24D6" w14:paraId="3B4F9A06" w14:textId="77777777" w:rsidTr="000631CD">
        <w:tc>
          <w:tcPr>
            <w:cnfStyle w:val="001000000000" w:firstRow="0" w:lastRow="0" w:firstColumn="1" w:lastColumn="0" w:oddVBand="0" w:evenVBand="0" w:oddHBand="0" w:evenHBand="0" w:firstRowFirstColumn="0" w:firstRowLastColumn="0" w:lastRowFirstColumn="0" w:lastRowLastColumn="0"/>
            <w:tcW w:w="2898" w:type="dxa"/>
            <w:hideMark/>
          </w:tcPr>
          <w:p w14:paraId="2AEF03A4" w14:textId="77777777" w:rsidR="001D28AE" w:rsidRPr="00BA24D6" w:rsidRDefault="001D28AE" w:rsidP="00BF4164">
            <w:pPr>
              <w:jc w:val="both"/>
              <w:rPr>
                <w:rFonts w:asciiTheme="minorHAnsi" w:eastAsia="Times New Roman" w:hAnsiTheme="minorHAnsi" w:cs="Helvetica"/>
                <w:color w:val="333333"/>
                <w:sz w:val="24"/>
                <w:lang w:val="en-IN" w:eastAsia="en-IN"/>
              </w:rPr>
            </w:pPr>
            <w:r w:rsidRPr="00BA24D6">
              <w:rPr>
                <w:rFonts w:asciiTheme="minorHAnsi" w:eastAsia="Times New Roman" w:hAnsiTheme="minorHAnsi" w:cs="Helvetica"/>
                <w:color w:val="333333"/>
                <w:sz w:val="24"/>
                <w:lang w:val="en-IN" w:eastAsia="en-IN"/>
              </w:rPr>
              <w:t>Private vehicle</w:t>
            </w:r>
          </w:p>
        </w:tc>
        <w:tc>
          <w:tcPr>
            <w:tcW w:w="2857" w:type="dxa"/>
            <w:hideMark/>
          </w:tcPr>
          <w:p w14:paraId="2E6B7C1A" w14:textId="77777777" w:rsidR="001D28AE" w:rsidRPr="00BA24D6" w:rsidRDefault="001D28AE" w:rsidP="00BF4164">
            <w:pPr>
              <w:jc w:val="both"/>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21.87</w:t>
            </w:r>
          </w:p>
        </w:tc>
        <w:tc>
          <w:tcPr>
            <w:tcW w:w="2701" w:type="dxa"/>
            <w:gridSpan w:val="2"/>
            <w:hideMark/>
          </w:tcPr>
          <w:p w14:paraId="6C84BCE5" w14:textId="77777777" w:rsidR="001D28AE" w:rsidRPr="00BA24D6" w:rsidRDefault="001D28AE" w:rsidP="00BF4164">
            <w:pPr>
              <w:jc w:val="both"/>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0.78</w:t>
            </w:r>
          </w:p>
        </w:tc>
      </w:tr>
      <w:tr w:rsidR="001D28AE" w:rsidRPr="00BA24D6" w14:paraId="481FF5B2" w14:textId="77777777" w:rsidTr="00063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hideMark/>
          </w:tcPr>
          <w:p w14:paraId="77D4A354" w14:textId="77777777" w:rsidR="001D28AE" w:rsidRPr="00BA24D6" w:rsidRDefault="001D28AE" w:rsidP="00BF4164">
            <w:pPr>
              <w:jc w:val="both"/>
              <w:rPr>
                <w:rFonts w:asciiTheme="minorHAnsi" w:eastAsia="Times New Roman" w:hAnsiTheme="minorHAnsi" w:cs="Helvetica"/>
                <w:color w:val="333333"/>
                <w:sz w:val="24"/>
                <w:lang w:val="en-IN" w:eastAsia="en-IN"/>
              </w:rPr>
            </w:pPr>
            <w:r w:rsidRPr="00BA24D6">
              <w:rPr>
                <w:rFonts w:asciiTheme="minorHAnsi" w:eastAsia="Times New Roman" w:hAnsiTheme="minorHAnsi" w:cs="Helvetica"/>
                <w:color w:val="333333"/>
                <w:sz w:val="24"/>
                <w:lang w:val="en-IN" w:eastAsia="en-IN"/>
              </w:rPr>
              <w:t>Motor Rickshaw, Taxi car</w:t>
            </w:r>
          </w:p>
        </w:tc>
        <w:tc>
          <w:tcPr>
            <w:tcW w:w="2857" w:type="dxa"/>
            <w:hideMark/>
          </w:tcPr>
          <w:p w14:paraId="338AD4D6" w14:textId="77777777" w:rsidR="001D28AE" w:rsidRPr="00BA24D6" w:rsidRDefault="001D28AE" w:rsidP="00BF4164">
            <w:pPr>
              <w:jc w:val="both"/>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14.52</w:t>
            </w:r>
          </w:p>
        </w:tc>
        <w:tc>
          <w:tcPr>
            <w:tcW w:w="2701" w:type="dxa"/>
            <w:gridSpan w:val="2"/>
            <w:hideMark/>
          </w:tcPr>
          <w:p w14:paraId="7013F160" w14:textId="77777777" w:rsidR="001D28AE" w:rsidRPr="00BA24D6" w:rsidRDefault="001D28AE" w:rsidP="00BF4164">
            <w:pPr>
              <w:jc w:val="both"/>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1.13</w:t>
            </w:r>
          </w:p>
        </w:tc>
      </w:tr>
      <w:tr w:rsidR="001D28AE" w:rsidRPr="00BA24D6" w14:paraId="4037141B" w14:textId="77777777" w:rsidTr="000631CD">
        <w:tc>
          <w:tcPr>
            <w:cnfStyle w:val="001000000000" w:firstRow="0" w:lastRow="0" w:firstColumn="1" w:lastColumn="0" w:oddVBand="0" w:evenVBand="0" w:oddHBand="0" w:evenHBand="0" w:firstRowFirstColumn="0" w:firstRowLastColumn="0" w:lastRowFirstColumn="0" w:lastRowLastColumn="0"/>
            <w:tcW w:w="2898" w:type="dxa"/>
            <w:hideMark/>
          </w:tcPr>
          <w:p w14:paraId="0D219764" w14:textId="77777777" w:rsidR="001D28AE" w:rsidRPr="00BA24D6" w:rsidRDefault="001D28AE" w:rsidP="00BF4164">
            <w:pPr>
              <w:jc w:val="both"/>
              <w:rPr>
                <w:rFonts w:asciiTheme="minorHAnsi" w:eastAsia="Times New Roman" w:hAnsiTheme="minorHAnsi" w:cs="Helvetica"/>
                <w:color w:val="333333"/>
                <w:sz w:val="24"/>
                <w:lang w:val="en-IN" w:eastAsia="en-IN"/>
              </w:rPr>
            </w:pPr>
            <w:r w:rsidRPr="00BA24D6">
              <w:rPr>
                <w:rFonts w:asciiTheme="minorHAnsi" w:eastAsia="Times New Roman" w:hAnsiTheme="minorHAnsi" w:cs="Helvetica"/>
                <w:color w:val="333333"/>
                <w:sz w:val="24"/>
                <w:lang w:val="en-IN" w:eastAsia="en-IN"/>
              </w:rPr>
              <w:t>Others</w:t>
            </w:r>
          </w:p>
        </w:tc>
        <w:tc>
          <w:tcPr>
            <w:tcW w:w="2857" w:type="dxa"/>
            <w:hideMark/>
          </w:tcPr>
          <w:p w14:paraId="5CB9961E" w14:textId="77777777" w:rsidR="001D28AE" w:rsidRPr="00BA24D6" w:rsidRDefault="001D28AE" w:rsidP="00BF4164">
            <w:pPr>
              <w:jc w:val="both"/>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0.6</w:t>
            </w:r>
          </w:p>
        </w:tc>
        <w:tc>
          <w:tcPr>
            <w:tcW w:w="2701" w:type="dxa"/>
            <w:gridSpan w:val="2"/>
            <w:hideMark/>
          </w:tcPr>
          <w:p w14:paraId="56C0DEFA" w14:textId="77777777" w:rsidR="001D28AE" w:rsidRPr="00BA24D6" w:rsidRDefault="001D28AE" w:rsidP="00BF4164">
            <w:pPr>
              <w:jc w:val="both"/>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IN" w:eastAsia="en-IN"/>
              </w:rPr>
            </w:pPr>
            <w:r w:rsidRPr="00BA24D6">
              <w:rPr>
                <w:rFonts w:eastAsia="Times New Roman" w:cs="Helvetica"/>
                <w:color w:val="333333"/>
                <w:lang w:val="en-IN" w:eastAsia="en-IN"/>
              </w:rPr>
              <w:t>0.000002</w:t>
            </w:r>
          </w:p>
        </w:tc>
      </w:tr>
    </w:tbl>
    <w:p w14:paraId="1C0B303E" w14:textId="77777777" w:rsidR="001D28AE" w:rsidRPr="00BA24D6" w:rsidRDefault="001D28AE" w:rsidP="00BF4164">
      <w:pPr>
        <w:spacing w:after="0"/>
        <w:jc w:val="both"/>
        <w:cnfStyle w:val="001000100000" w:firstRow="0" w:lastRow="0" w:firstColumn="1" w:lastColumn="0" w:oddVBand="0" w:evenVBand="0" w:oddHBand="1" w:evenHBand="0" w:firstRowFirstColumn="0" w:firstRowLastColumn="0" w:lastRowFirstColumn="0" w:lastRowLastColumn="0"/>
        <w:rPr>
          <w:rFonts w:eastAsia="Times New Roman" w:cs="Helvetica"/>
          <w:i/>
          <w:iCs/>
          <w:color w:val="333333"/>
          <w:sz w:val="22"/>
          <w:szCs w:val="22"/>
          <w:lang w:val="en-IN" w:eastAsia="en-IN"/>
        </w:rPr>
      </w:pPr>
      <w:r w:rsidRPr="00BA24D6">
        <w:rPr>
          <w:rFonts w:eastAsia="Times New Roman" w:cs="Helvetica"/>
          <w:i/>
          <w:iCs/>
          <w:color w:val="333333"/>
          <w:sz w:val="22"/>
          <w:szCs w:val="22"/>
          <w:lang w:val="en-IN" w:eastAsia="en-IN"/>
        </w:rPr>
        <w:t>*Patients transported in per cent</w:t>
      </w:r>
    </w:p>
    <w:p w14:paraId="74468B98" w14:textId="77777777" w:rsidR="001D28AE" w:rsidRPr="00BA24D6" w:rsidRDefault="001D28AE" w:rsidP="00BF4164">
      <w:pPr>
        <w:spacing w:after="0"/>
        <w:jc w:val="both"/>
        <w:cnfStyle w:val="001000100000" w:firstRow="0" w:lastRow="0" w:firstColumn="1" w:lastColumn="0" w:oddVBand="0" w:evenVBand="0" w:oddHBand="1" w:evenHBand="0" w:firstRowFirstColumn="0" w:firstRowLastColumn="0" w:lastRowFirstColumn="0" w:lastRowLastColumn="0"/>
        <w:rPr>
          <w:rFonts w:eastAsia="Times New Roman" w:cs="Helvetica"/>
          <w:i/>
          <w:iCs/>
          <w:color w:val="333333"/>
          <w:sz w:val="22"/>
          <w:szCs w:val="22"/>
          <w:lang w:val="en-IN" w:eastAsia="en-IN"/>
        </w:rPr>
      </w:pPr>
      <w:r w:rsidRPr="00BA24D6">
        <w:rPr>
          <w:rFonts w:eastAsia="Times New Roman" w:cs="Helvetica"/>
          <w:i/>
          <w:iCs/>
          <w:color w:val="333333"/>
          <w:sz w:val="22"/>
          <w:szCs w:val="22"/>
          <w:lang w:val="en-IN" w:eastAsia="en-IN"/>
        </w:rPr>
        <w:t>**Adjusted for Age, Sex, and Injury Severity Score</w:t>
      </w:r>
    </w:p>
    <w:p w14:paraId="34D4E5BF" w14:textId="77777777" w:rsidR="005474AC" w:rsidRDefault="00A04480" w:rsidP="00BF4164">
      <w:pPr>
        <w:pStyle w:val="BodyText"/>
        <w:jc w:val="both"/>
      </w:pPr>
      <w:r>
        <w:lastRenderedPageBreak/>
        <w:t>The Poisson multivariate regression analysis showed that the relative risk of mortality f</w:t>
      </w:r>
      <w:r>
        <w:t>or police vehicles was higher when compared to patients transported by ambulances (RR 1.5, 95% CI x–y, p = y), when adjusting for age, sex, and ISS. This was lower than the relative risk of mortality due to private vehicles or taxis and motor rickshaws whe</w:t>
      </w:r>
      <w:r>
        <w:t>n compared to ambulances (Table 2).</w:t>
      </w:r>
    </w:p>
    <w:p w14:paraId="667EAF9E" w14:textId="77777777" w:rsidR="005474AC" w:rsidRDefault="00A04480" w:rsidP="00BF4164">
      <w:pPr>
        <w:pStyle w:val="BodyText"/>
        <w:jc w:val="both"/>
      </w:pPr>
      <w:r>
        <w:t>This analysis of the TITCO-India data set show similar results to the findings by the authors using data from Malawi. Therefore, there is a need to explore context-specific strategies such as training the police personne</w:t>
      </w:r>
      <w:r>
        <w:t>l to address the burden of trauma mortality in low-resource settings.</w:t>
      </w:r>
    </w:p>
    <w:p w14:paraId="25243B6F" w14:textId="77777777" w:rsidR="005474AC" w:rsidRDefault="00A04480" w:rsidP="00BF4164">
      <w:pPr>
        <w:pStyle w:val="Heading1"/>
        <w:jc w:val="both"/>
      </w:pPr>
      <w:bookmarkStart w:id="0" w:name="references"/>
      <w:r>
        <w:t>References</w:t>
      </w:r>
      <w:bookmarkEnd w:id="0"/>
    </w:p>
    <w:p w14:paraId="7A08CE8A" w14:textId="77777777" w:rsidR="005474AC" w:rsidRPr="00BF4164" w:rsidRDefault="00A04480" w:rsidP="00BF4164">
      <w:pPr>
        <w:pStyle w:val="Bibliography"/>
        <w:jc w:val="both"/>
        <w:rPr>
          <w:sz w:val="22"/>
          <w:szCs w:val="22"/>
        </w:rPr>
      </w:pPr>
      <w:bookmarkStart w:id="1" w:name="ref-Purcell2020"/>
      <w:bookmarkStart w:id="2" w:name="refs"/>
      <w:r w:rsidRPr="00BF4164">
        <w:rPr>
          <w:sz w:val="22"/>
          <w:szCs w:val="22"/>
        </w:rPr>
        <w:t>1. Purcell LN, Mulima G, Nip E, Yohan A, Gallaher J, Charles A. Police Transportation Following Vehicular Trauma and Risk of Mortality in a Resource-Limited Setting. World Jou</w:t>
      </w:r>
      <w:r w:rsidRPr="00BF4164">
        <w:rPr>
          <w:sz w:val="22"/>
          <w:szCs w:val="22"/>
        </w:rPr>
        <w:t>rnal of Surgery. 2020;45:662–7. doi:</w:t>
      </w:r>
      <w:hyperlink r:id="rId7">
        <w:r w:rsidRPr="00BF4164">
          <w:rPr>
            <w:rStyle w:val="Hyperlink"/>
            <w:sz w:val="22"/>
            <w:szCs w:val="22"/>
          </w:rPr>
          <w:t>10.1007/s00268-020-05853-z</w:t>
        </w:r>
      </w:hyperlink>
      <w:r w:rsidRPr="00BF4164">
        <w:rPr>
          <w:sz w:val="22"/>
          <w:szCs w:val="22"/>
        </w:rPr>
        <w:t>.</w:t>
      </w:r>
    </w:p>
    <w:p w14:paraId="3EE86D55" w14:textId="77777777" w:rsidR="005474AC" w:rsidRPr="00BF4164" w:rsidRDefault="00A04480" w:rsidP="00BF4164">
      <w:pPr>
        <w:pStyle w:val="Bibliography"/>
        <w:jc w:val="both"/>
        <w:rPr>
          <w:sz w:val="22"/>
          <w:szCs w:val="22"/>
        </w:rPr>
      </w:pPr>
      <w:bookmarkStart w:id="3" w:name="ref-Abbafati2020"/>
      <w:bookmarkEnd w:id="1"/>
      <w:r w:rsidRPr="00BF4164">
        <w:rPr>
          <w:sz w:val="22"/>
          <w:szCs w:val="22"/>
        </w:rPr>
        <w:t>2. GBD 2019 Diseases and Injuries Collaborators. Global burden of 369 diseases and injuries in 204 countries and territories, 1990</w:t>
      </w:r>
      <w:r w:rsidRPr="00BF4164">
        <w:rPr>
          <w:sz w:val="22"/>
          <w:szCs w:val="22"/>
        </w:rPr>
        <w:t>-2019: a systematic analysis for the Global Burden of Disease Study 2019. The Lancet. 2020;396:1204–22.</w:t>
      </w:r>
    </w:p>
    <w:p w14:paraId="75B7309D" w14:textId="77777777" w:rsidR="005474AC" w:rsidRPr="00BF4164" w:rsidRDefault="00A04480" w:rsidP="00BF4164">
      <w:pPr>
        <w:pStyle w:val="Bibliography"/>
        <w:jc w:val="both"/>
        <w:rPr>
          <w:sz w:val="22"/>
          <w:szCs w:val="22"/>
        </w:rPr>
      </w:pPr>
      <w:bookmarkStart w:id="4" w:name="ref-Subhan2010"/>
      <w:bookmarkEnd w:id="3"/>
      <w:r w:rsidRPr="00BF4164">
        <w:rPr>
          <w:sz w:val="22"/>
          <w:szCs w:val="22"/>
        </w:rPr>
        <w:t>3. Subhan I, Jain A. Emergency care in India: The building blocks. International Journal of Emergency Medicine. 2010;3:207–11.</w:t>
      </w:r>
    </w:p>
    <w:p w14:paraId="0FD0F5F8" w14:textId="77777777" w:rsidR="005474AC" w:rsidRPr="00BF4164" w:rsidRDefault="00A04480" w:rsidP="00BF4164">
      <w:pPr>
        <w:pStyle w:val="Bibliography"/>
        <w:jc w:val="both"/>
        <w:rPr>
          <w:sz w:val="22"/>
          <w:szCs w:val="22"/>
        </w:rPr>
      </w:pPr>
      <w:bookmarkStart w:id="5" w:name="ref-Dharap2017"/>
      <w:bookmarkEnd w:id="4"/>
      <w:r w:rsidRPr="00BF4164">
        <w:rPr>
          <w:sz w:val="22"/>
          <w:szCs w:val="22"/>
        </w:rPr>
        <w:t>4. Dharap SB, Kamath S, K</w:t>
      </w:r>
      <w:r w:rsidRPr="00BF4164">
        <w:rPr>
          <w:sz w:val="22"/>
          <w:szCs w:val="22"/>
        </w:rPr>
        <w:t>umar V. Does prehospital time affect survival of major trauma patients where there is no prehospital care? Journal of postgraduate medicine. 2017;63:169–75.</w:t>
      </w:r>
      <w:bookmarkEnd w:id="2"/>
      <w:bookmarkEnd w:id="5"/>
    </w:p>
    <w:sectPr w:rsidR="005474AC" w:rsidRPr="00BF41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2A4E9" w14:textId="77777777" w:rsidR="00A04480" w:rsidRDefault="00A04480">
      <w:pPr>
        <w:spacing w:after="0"/>
      </w:pPr>
      <w:r>
        <w:separator/>
      </w:r>
    </w:p>
  </w:endnote>
  <w:endnote w:type="continuationSeparator" w:id="0">
    <w:p w14:paraId="5C7656A6" w14:textId="77777777" w:rsidR="00A04480" w:rsidRDefault="00A044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2CCFE" w14:textId="77777777" w:rsidR="00A04480" w:rsidRDefault="00A04480">
      <w:r>
        <w:separator/>
      </w:r>
    </w:p>
  </w:footnote>
  <w:footnote w:type="continuationSeparator" w:id="0">
    <w:p w14:paraId="7453297A" w14:textId="77777777" w:rsidR="00A04480" w:rsidRDefault="00A04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E6A8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28AE"/>
    <w:rsid w:val="004E29B3"/>
    <w:rsid w:val="005474AC"/>
    <w:rsid w:val="00590D07"/>
    <w:rsid w:val="00784D58"/>
    <w:rsid w:val="008D6863"/>
    <w:rsid w:val="00A04480"/>
    <w:rsid w:val="00B86B75"/>
    <w:rsid w:val="00BA24D6"/>
    <w:rsid w:val="00BC48D5"/>
    <w:rsid w:val="00BF416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DD1E"/>
  <w15:docId w15:val="{016801CA-EA79-444E-85DF-E046450E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BA24D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94584">
      <w:bodyDiv w:val="1"/>
      <w:marLeft w:val="0"/>
      <w:marRight w:val="0"/>
      <w:marTop w:val="0"/>
      <w:marBottom w:val="0"/>
      <w:divBdr>
        <w:top w:val="none" w:sz="0" w:space="0" w:color="auto"/>
        <w:left w:val="none" w:sz="0" w:space="0" w:color="auto"/>
        <w:bottom w:val="none" w:sz="0" w:space="0" w:color="auto"/>
        <w:right w:val="none" w:sz="0" w:space="0" w:color="auto"/>
      </w:divBdr>
    </w:div>
    <w:div w:id="1282954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00268-020-05853-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Letter to editor</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editor</dc:title>
  <dc:creator>Siddarth David;Chandrika Verma</dc:creator>
  <cp:keywords/>
  <cp:lastModifiedBy>Siddarth David</cp:lastModifiedBy>
  <cp:revision>4</cp:revision>
  <dcterms:created xsi:type="dcterms:W3CDTF">2021-02-13T06:14:00Z</dcterms:created>
  <dcterms:modified xsi:type="dcterms:W3CDTF">2021-02-13T06:17:00Z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bmcemerg.csl</vt:lpwstr>
  </property>
  <property fmtid="{D5CDD505-2E9C-101B-9397-08002B2CF9AE}" pid="5" name="documentclass">
    <vt:lpwstr>article</vt:lpwstr>
  </property>
  <property fmtid="{D5CDD505-2E9C-101B-9397-08002B2CF9AE}" pid="6" name="output">
    <vt:lpwstr/>
  </property>
</Properties>
</file>