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2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missing data rates, differences in distribution between observed and data extracted from medical records, and resident pass rate.</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w:t>
      </w:r>
    </w:p>
    <w:p>
      <w:pPr>
        <w:pStyle w:val="TextBody"/>
      </w:pPr>
      <w:r>
        <w:rPr>
          <w:bCs/>
          <w:b/>
        </w:rPr>
        <w:t xml:space="preserve">Conclusions</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by dedicated research officers.</w:t>
      </w:r>
    </w:p>
    <w:p>
      <w:pPr>
        <w:numPr>
          <w:ilvl w:val="0"/>
          <w:numId w:val="1001"/>
        </w:numPr>
        <w:pStyle w:val="Compact"/>
      </w:pPr>
      <w:r>
        <w:t xml:space="preserve">Lack of a priori defined success criteria and thresholds for the feasibility outcomes.</w:t>
      </w:r>
    </w:p>
    <w:p>
      <w:pPr>
        <w:numPr>
          <w:ilvl w:val="0"/>
          <w:numId w:val="1001"/>
        </w:numPr>
        <w:pStyle w:val="Compact"/>
      </w:pPr>
      <w:r>
        <w:t xml:space="preserve">Use of sealed envelopes potentially compromised allocation concealment.</w:t>
      </w:r>
    </w:p>
    <w:p>
      <w:pPr>
        <w:numPr>
          <w:ilvl w:val="0"/>
          <w:numId w:val="1001"/>
        </w:numPr>
        <w:pStyle w:val="Compact"/>
      </w:pPr>
      <w:r>
        <w:t xml:space="preserve">Participating centers’ heterogeneity may affect the study estimates and bias the results.</w:t>
      </w:r>
    </w:p>
    <w:p>
      <w:r>
        <w:br w:type="page"/>
      </w:r>
    </w:p>
    <w:bookmarkEnd w:id="90"/>
    <w:bookmarkStart w:id="91"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in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7–21</w:t>
      </w:r>
      <w:r>
        <w:t xml:space="preserve">, but there is no high quality evidence from controlled trials to support this</w:t>
      </w:r>
      <w:r>
        <w:rPr>
          <w:vertAlign w:val="superscript"/>
        </w:rPr>
        <w:t xml:space="preserve">2–4,22–24</w:t>
      </w:r>
      <w:r>
        <w:t xml:space="preserve">.</w:t>
      </w:r>
    </w:p>
    <w:p>
      <w:pPr>
        <w:pStyle w:val="TextBody"/>
      </w:pPr>
      <w:r>
        <w:t xml:space="preserve">Several studies, including at least two randomised studies</w:t>
      </w:r>
      <w:r>
        <w:rPr>
          <w:vertAlign w:val="superscript"/>
        </w:rPr>
        <w:t xml:space="preserve">25,26</w:t>
      </w:r>
      <w:r>
        <w:t xml:space="preserve">, show that ATLS</w:t>
      </w:r>
      <w:r>
        <w:rPr>
          <w:vertAlign w:val="superscript"/>
        </w:rPr>
        <w:t xml:space="preserve">®</w:t>
      </w:r>
      <w:r>
        <w:t xml:space="preserve"> </w:t>
      </w:r>
      <w:r>
        <w:t xml:space="preserve">is associated with improved knowledge and skills among providers</w:t>
      </w:r>
      <w:r>
        <w:rPr>
          <w:vertAlign w:val="superscript"/>
        </w:rPr>
        <w:t xml:space="preserve">2</w:t>
      </w:r>
      <w:r>
        <w:t xml:space="preserve">. Observational evidence suggests that PTC also leads to improved provider skills</w:t>
      </w:r>
      <w:r>
        <w:rPr>
          <w:vertAlign w:val="superscript"/>
        </w:rPr>
        <w:t xml:space="preserve">4</w:t>
      </w:r>
      <w:r>
        <w:t xml:space="preserve">. The missing link is then whether these improved knowledge and skills translate into measurably improved patient outcomes.</w:t>
      </w:r>
    </w:p>
    <w:p>
      <w:pPr>
        <w:pStyle w:val="TextBody"/>
      </w:pPr>
      <w:r>
        <w:t xml:space="preserve">Systematic reviews call for controlled trials in settings where these programmes are not routinely implemented</w:t>
      </w:r>
      <w:r>
        <w:rPr>
          <w:vertAlign w:val="superscript"/>
        </w:rPr>
        <w:t xml:space="preserve">2–4</w:t>
      </w:r>
      <w:r>
        <w:t xml:space="preserve">,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pPr>
        <w:pStyle w:val="TextBody"/>
      </w:pPr>
      <w:r>
        <w:t xml:space="preserve">We therefore conducted a pilot study to assess the feasibility of a cluster randomised controlled trial comparing the effect of ATLS</w:t>
      </w:r>
      <w:r>
        <w:rPr>
          <w:vertAlign w:val="superscript"/>
        </w:rPr>
        <w:t xml:space="preserve">®</w:t>
      </w:r>
      <w:r>
        <w:t xml:space="preserve"> </w:t>
      </w:r>
      <w:r>
        <w:t xml:space="preserve">and PTC with standard care on outcomes in adult trauma patients.</w:t>
      </w:r>
    </w:p>
    <w:bookmarkEnd w:id="91"/>
    <w:bookmarkStart w:id="113"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27</w:t>
      </w:r>
      <w:r>
        <w:t xml:space="preserve">. There were a standard care arm and two intervention arms, ATLS</w:t>
      </w:r>
      <w:r>
        <w:rPr>
          <w:vertAlign w:val="superscript"/>
        </w:rPr>
        <w:t xml:space="preserve">®</w:t>
      </w:r>
      <w:r>
        <w:t xml:space="preserve"> </w:t>
      </w:r>
      <w:r>
        <w:t xml:space="preserve">and PTC training. We planned to collect data for four months in all three arms, first during a one month observation phase and then during a three month intervention phase (or continued observation in the standard care arm). The actual data collection period varied across clusters depending on the timing of the training, to ensure a minimum of three months of data collection after the training in the intervention clusters. We included the one month lead to be able to evaluate the feasibility of comparing patient outcomes both as absolute differences between the intervention phases, and as differences in change from baseline. In the published protocol, we also aimed to estimate probable effect sizes and other measures needed for the sample size calculations of a full-scale trial</w:t>
      </w:r>
      <w:r>
        <w:rPr>
          <w:vertAlign w:val="superscript"/>
        </w:rPr>
        <w:t xml:space="preserve">27</w:t>
      </w:r>
      <w:r>
        <w:t xml:space="preserve">, but we revised this aim in the light of current guidance on the conduct and reporting of pilot trials</w:t>
      </w:r>
      <w:r>
        <w:rPr>
          <w:vertAlign w:val="superscript"/>
        </w:rPr>
        <w:t xml:space="preserve">28</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w:t>
      </w:r>
      <w:r>
        <w:rPr>
          <w:vertAlign w:val="superscript"/>
        </w:rPr>
        <w:t xml:space="preserve">®</w:t>
      </w:r>
      <w:r>
        <w:t xml:space="preserve">, PTC, nor any other established trauma life support training program is routinely taught. Details about each cluster is included as Supplementary Table S1. Originally, we intented to include six hospitals as clusters, but decided to include a seventh when they expressed interest and as we had the budget to accommodate this. These seven hospitals were a convenience sample of hospitals in India that fulfilled the inclusion criteria, and with existing connections to the research team.</w:t>
      </w:r>
    </w:p>
    <w:bookmarkEnd w:id="94"/>
    <w:bookmarkStart w:id="98" w:name="X7fa9f104419b836702429a89b65c3255ae3f510"/>
    <w:p>
      <w:pPr>
        <w:pStyle w:val="Heading2"/>
      </w:pPr>
      <w:r>
        <w:t xml:space="preserve">Eligibility Criteria for Cluster and Participants</w:t>
      </w:r>
    </w:p>
    <w:bookmarkStart w:id="95" w:name="clusters"/>
    <w:p>
      <w:pPr>
        <w:pStyle w:val="Heading3"/>
      </w:pPr>
      <w:r>
        <w:t xml:space="preserve">Clusters</w:t>
      </w:r>
    </w:p>
    <w:p>
      <w:pPr>
        <w:pStyle w:val="FirstParagraph"/>
      </w:pPr>
      <w:r>
        <w:t xml:space="preserve">We defined a cluster as a tertiary care hospitals in metropolitan areas in India that admitted more than 400 adult patients with trauma each year, and that had operation theatres, X-ray, CT, and ultrasound facilities, and blood bank available around the clock. In each cluster, we trained one or more units of physicians providing trauma care in the emergency department. To be eligible, units could have no more than 25% of their physicians trained in either ATLS</w:t>
      </w:r>
      <w:r>
        <w:rPr>
          <w:vertAlign w:val="superscript"/>
        </w:rPr>
        <w:t xml:space="preserve">®</w:t>
      </w:r>
      <w:r>
        <w:t xml:space="preserve">, PTC, or similar training programmes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95"/>
    <w:bookmarkStart w:id="96" w:name="residents"/>
    <w:p>
      <w:pPr>
        <w:pStyle w:val="Heading3"/>
      </w:pPr>
      <w:r>
        <w:t xml:space="preserve">Residents</w:t>
      </w:r>
    </w:p>
    <w:p>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 In the published protocol, we stated that only surgical residents would be trained. However, in some of the participating hospitals, emergency medicine residents performed the initial resuscitation and management of trauma patients, and we therefore decided to train them instead.</w:t>
      </w:r>
    </w:p>
    <w:bookmarkEnd w:id="96"/>
    <w:bookmarkStart w:id="97" w:name="patients"/>
    <w:p>
      <w:pPr>
        <w:pStyle w:val="Heading3"/>
      </w:pPr>
      <w:r>
        <w:t xml:space="preserve">Patients</w:t>
      </w:r>
    </w:p>
    <w:p>
      <w:pPr>
        <w:pStyle w:val="FirstParagraph"/>
      </w:pPr>
      <w:r>
        <w:t xml:space="preserve">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bookmarkEnd w:id="97"/>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in these units, and they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 We did not collect data on how standard care varied between the participating hospitals.</w:t>
      </w:r>
    </w:p>
    <w:bookmarkEnd w:id="99"/>
    <w:bookmarkStart w:id="10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at the beginning of the three month intervention phase.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and the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are two days, and they teach how to assess, resuscitate and stabilize trauma patients and how to adapt to needs of different patient populations. The teaching is based on case discussions and skill stations. There are some important differences between the two programmes. The ATLS course include more on the inter-hospital transfer of patients and includes a greater emphasis on the trauma team</w:t>
      </w:r>
      <w:r>
        <w:rPr>
          <w:vertAlign w:val="superscript"/>
        </w:rPr>
        <w:t xml:space="preserve">5</w:t>
      </w:r>
      <w:r>
        <w:t xml:space="preserve">. The PTC course on the other hand focuses on trauma care in the low resource setting</w:t>
      </w:r>
      <w:r>
        <w:rPr>
          <w:vertAlign w:val="superscript"/>
        </w:rPr>
        <w:t xml:space="preserve">6</w:t>
      </w:r>
      <w:r>
        <w:t xml:space="preserve">. The ATLS</w:t>
      </w:r>
      <w:r>
        <w:rPr>
          <w:vertAlign w:val="superscript"/>
        </w:rPr>
        <w:t xml:space="preserve">®</w:t>
      </w:r>
      <w:r>
        <w:t xml:space="preserve"> </w:t>
      </w:r>
      <w:r>
        <w:t xml:space="preserve">programme is run by the American College of Surgeons and participants pay a fee to take a course, whereas the PTC programme is run by the UK based charity the PTC Foundation and is free of charge.</w:t>
      </w:r>
    </w:p>
    <w:bookmarkEnd w:id="100"/>
    <w:bookmarkStart w:id="101" w:name="feasibility-outcomes"/>
    <w:p>
      <w:pPr>
        <w:pStyle w:val="Heading2"/>
      </w:pPr>
      <w:r>
        <w:t xml:space="preserve">Feasibility outcomes</w:t>
      </w:r>
    </w:p>
    <w:p>
      <w:pPr>
        <w:pStyle w:val="FirstParagraph"/>
      </w:pPr>
      <w:r>
        <w:t xml:space="preserve">Our feasibility outcomes were:</w:t>
      </w:r>
    </w:p>
    <w:p>
      <w:pPr>
        <w:numPr>
          <w:ilvl w:val="0"/>
          <w:numId w:val="1002"/>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2"/>
        </w:numPr>
        <w:pStyle w:val="Compact"/>
      </w:pPr>
      <w:r>
        <w:t xml:space="preserve">Lost to follow up rate. This applied only to patients and was equal to the percentage of patients who did not complete 30 day follow up, out of all included patients.</w:t>
      </w:r>
    </w:p>
    <w:p>
      <w:pPr>
        <w:numPr>
          <w:ilvl w:val="0"/>
          <w:numId w:val="1002"/>
        </w:numPr>
        <w:pStyle w:val="Compact"/>
      </w:pPr>
      <w:r>
        <w:t xml:space="preserve">Missing data rate. This applied to each outcome and variable and was equal to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but we decided to only extract this data from a convenience sample of patients to reduce the workload of the project officers collecting data.</w:t>
      </w:r>
    </w:p>
    <w:p>
      <w:pPr>
        <w:numPr>
          <w:ilvl w:val="0"/>
          <w:numId w:val="1002"/>
        </w:numPr>
        <w:pStyle w:val="Compact"/>
      </w:pPr>
      <w:r>
        <w:t xml:space="preserve">Pass rate. This applied only to residents in the intervention arms and was equal the percentage of residents who passed the training programme, out of the total number of trained residents.</w:t>
      </w:r>
    </w:p>
    <w:p>
      <w:pPr>
        <w:pStyle w:val="FirstParagraph"/>
      </w:pPr>
      <w:r>
        <w:t xml:space="preserve">We did not prespecify criteria to judge whether to continue with the full scale trial.</w:t>
      </w:r>
    </w:p>
    <w:bookmarkEnd w:id="101"/>
    <w:bookmarkStart w:id="102" w:name="sample-size"/>
    <w:p>
      <w:pPr>
        <w:pStyle w:val="Heading2"/>
      </w:pPr>
      <w:r>
        <w:t xml:space="preserve">Sample size</w:t>
      </w:r>
    </w:p>
    <w:p>
      <w:pPr>
        <w:pStyle w:val="FirstParagraph"/>
      </w:pPr>
      <w:r>
        <w:t xml:space="preserve">We wanted to include at least two clusters per arm to avoid drawing conclusions based on single centers, and we wanted to train at least two units per intervention cluster to be able to evaluate the logistics of sending residents for training. We did not conduct a formal power calculation for this pilot study, as the purpose was to assess the feasibility of the trial logistics and research methods. We anticipated that the numbers of patients included per cluster were anticipated would vary between clusters depending on the volume of patients at each hospital.</w:t>
      </w:r>
    </w:p>
    <w:bookmarkEnd w:id="102"/>
    <w:bookmarkStart w:id="105" w:name="participant-timeline-and-inclusion"/>
    <w:p>
      <w:pPr>
        <w:pStyle w:val="Heading2"/>
      </w:pPr>
      <w:r>
        <w:t xml:space="preserve">Participant Timeline and Inclusion</w:t>
      </w:r>
    </w:p>
    <w:bookmarkStart w:id="103"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Patients who did not regain consciousness were included based on their representative’s consent. We followed up patients at 24 hours after arrival at the emergency department, and at 30 days after arrival at the emergency department. The follow up period for each patient was therefore one month.</w:t>
      </w:r>
    </w:p>
    <w:bookmarkEnd w:id="103"/>
    <w:bookmarkStart w:id="104"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protocol stated that residents would be approached for consent before the hospitals were randomised, but this proved not to be feasible, and we therefore asked residents for consent after the hospitals were randomised but before training. The training was conducted approximately one month after the study started in that hospital. Initially, we planned to use simple random sampling to select the units to be trained in each intervention hospital, but for pragmatic reasons we decided to leave the decision on which units to train to the site principal investigator. The number of residents trained in each intervention cluster varied because the size of the units varied.</w:t>
      </w:r>
    </w:p>
    <w:bookmarkEnd w:id="104"/>
    <w:bookmarkEnd w:id="105"/>
    <w:bookmarkStart w:id="106" w:name="allocation-and-blinding"/>
    <w:p>
      <w:pPr>
        <w:pStyle w:val="Heading2"/>
      </w:pPr>
      <w:r>
        <w:t xml:space="preserve">Allocation and blinding</w:t>
      </w:r>
    </w:p>
    <w:p>
      <w:pPr>
        <w:pStyle w:val="FirstParagraph"/>
      </w:pPr>
      <w:r>
        <w:t xml:space="preserve">We used simple randomisation implemented using sealed envelopes to allocate sites to trial arms. It was not possible to blind investigators, residents or patients to the intervention. We did not blind the data analysts.</w:t>
      </w:r>
    </w:p>
    <w:bookmarkEnd w:id="106"/>
    <w:bookmarkStart w:id="107" w:name="data-collection"/>
    <w:p>
      <w:pPr>
        <w:pStyle w:val="Heading2"/>
      </w:pPr>
      <w:r>
        <w:t xml:space="preserve">Data Collection</w:t>
      </w:r>
    </w:p>
    <w:p>
      <w:pPr>
        <w:pStyle w:val="FirstParagraph"/>
      </w:pPr>
      <w:r>
        <w:t xml:space="preserve">The planned data collection period was four months, but the actual data collection period varied across clusters depending on the timing of the training, to ensure a minimum of three months of data collection after the training in the intervention clusters.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bookmarkEnd w:id="107"/>
    <w:bookmarkStart w:id="108" w:name="variables"/>
    <w:p>
      <w:pPr>
        <w:pStyle w:val="Heading2"/>
      </w:pPr>
      <w:r>
        <w:t xml:space="preserve">Variables</w:t>
      </w:r>
    </w:p>
    <w:p>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(ISS) using the R package</w:t>
      </w:r>
      <w:r>
        <w:t xml:space="preserve"> </w:t>
      </w:r>
      <w:r>
        <w:rPr>
          <w:rStyle w:val="VerbatimChar"/>
        </w:rPr>
        <w:t xml:space="preserve">icdpicr</w:t>
      </w:r>
      <w:r>
        <w:rPr>
          <w:vertAlign w:val="superscript"/>
        </w:rPr>
        <w:t xml:space="preserve">29</w:t>
      </w:r>
      <w:r>
        <w:t xml:space="preserve">. The ISS is a widely used measure of injury severity and ranges from 0 to 75, with a cutoff of 16 often being used to define major trauma, and 75 representing unsurvivable trauma. We also collected data on potential outcomes for the full-scale trial, including mortality within 30-days and in-hospital, complications and health related quality of life (using the EQ-5D-3L). We did not calculate an EQ-5D-3L index score, because there is currently no Indian value set available for the EQ-5D-3L</w:t>
      </w:r>
      <w:r>
        <w:rPr>
          <w:vertAlign w:val="superscript"/>
        </w:rPr>
        <w:t xml:space="preserve">30</w:t>
      </w:r>
      <w:r>
        <w:t xml:space="preserve">. We also attempted to collect data on cause of death. A list of variables is available in Supplementary Table S2.</w:t>
      </w:r>
    </w:p>
    <w:bookmarkEnd w:id="108"/>
    <w:bookmarkStart w:id="109"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 xml:space="preserve">31</w:t>
      </w:r>
      <w:r>
        <w:t xml:space="preserve">. We initially planned to distribute periodic surveys to residents and follow them up after 30 days after training, but we changed this to interviews after the end of the study period as we thought this would provide richer data (not published).</w:t>
      </w:r>
    </w:p>
    <w:bookmarkEnd w:id="109"/>
    <w:bookmarkStart w:id="110"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110"/>
    <w:bookmarkStart w:id="111" w:name="statistical-methods"/>
    <w:p>
      <w:pPr>
        <w:pStyle w:val="Heading2"/>
      </w:pPr>
      <w:r>
        <w:t xml:space="preserve">Statistical Methods</w:t>
      </w:r>
    </w:p>
    <w:p>
      <w:pPr>
        <w:pStyle w:val="FirstParagraph"/>
      </w:pPr>
      <w:r>
        <w:t xml:space="preserve">We used the R version 4.5.0 (2025-04-11) Statistical Software for all analyses</w:t>
      </w:r>
      <w:r>
        <w:rPr>
          <w:vertAlign w:val="superscript"/>
        </w:rPr>
        <w:t xml:space="preserve">32</w:t>
      </w:r>
      <w:r>
        <w:t xml:space="preserve">. We analysed all data, including the feasibility outcomes, using descriptive statistics and did not perform any formal hypothesis tests</w:t>
      </w:r>
      <w:r>
        <w:rPr>
          <w:vertAlign w:val="superscript"/>
        </w:rPr>
        <w:t xml:space="preserve">33</w:t>
      </w:r>
      <w:r>
        <w:t xml:space="preserve">. Initially, we planned to analyse feasibility outcomes both on an overall and individual cluster levels, but the sample sizes in individual clusters were too small to generate meaningful results. Quantitative variables are summarised as median and interquartile range. Qualitative variables are presented as absolute numbers and percentages. Additional analyses performed according to the original protocol are available as additional online material</w:t>
      </w:r>
      <w:r>
        <w:rPr>
          <w:vertAlign w:val="superscript"/>
        </w:rPr>
        <w:t xml:space="preserve">34</w:t>
      </w:r>
      <w:r>
        <w:t xml:space="preserve">.</w:t>
      </w:r>
    </w:p>
    <w:bookmarkEnd w:id="111"/>
    <w:bookmarkStart w:id="112"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2"/>
    <w:bookmarkEnd w:id="113"/>
    <w:bookmarkStart w:id="123" w:name="results"/>
    <w:p>
      <w:pPr>
        <w:pStyle w:val="Heading1"/>
      </w:pPr>
      <w:r>
        <w:t xml:space="preserve">Results</w:t>
      </w:r>
    </w:p>
    <w:p>
      <w:pPr>
        <w:pStyle w:val="FirstParagraph"/>
      </w:pPr>
      <w:r>
        <w:t xml:space="preserve">We included 376 trauma patients from seven clusters between April 2022 and February 2023. The period of data collection and the number of patients included per month per cluster is shown in Figure</w:t>
      </w:r>
      <w:r>
        <w:t xml:space="preserve"> </w:t>
      </w:r>
      <w:r>
        <w:t xml:space="preserve">1</w:t>
      </w:r>
      <w:r>
        <w:t xml:space="preserve">. Due to an error in the data uploading process, data was only available for one and three months for two clusters respectively. The standard care arm included 202 patients, the ATLS</w:t>
      </w:r>
      <w:r>
        <w:rPr>
          <w:vertAlign w:val="superscript"/>
        </w:rPr>
        <w:t xml:space="preserve">®</w:t>
      </w:r>
      <w:r>
        <w:t xml:space="preserve"> </w:t>
      </w:r>
      <w:r>
        <w:t xml:space="preserve">arm included 44 patients, and the PTC arm included 130 patients. We trained a total of 22 residents, seven in ATLS</w:t>
      </w:r>
      <w:r>
        <w:rPr>
          <w:vertAlign w:val="superscript"/>
        </w:rPr>
        <w:t xml:space="preserve">®</w:t>
      </w:r>
      <w:r>
        <w:t xml:space="preserve">, and 15 in PTC.</w:t>
      </w:r>
    </w:p>
    <w:p>
      <w:pPr>
        <w:pStyle w:val="CaptionedFigure"/>
      </w:pPr>
      <w:r>
        <w:drawing>
          <wp:inline>
            <wp:extent cx="3067368" cy="4694327"/>
            <wp:effectExtent b="0" l="0" r="0" t="0"/>
            <wp:docPr descr="Figure 1: Number of patients included per cluster per month. Due to an error in the data uploading process, data was only available for one and three months for two clusters respectively." title="" id="115" name="Picture"/>
            <a:graphic>
              <a:graphicData uri="http://schemas.openxmlformats.org/drawingml/2006/picture">
                <pic:pic>
                  <pic:nvPicPr>
                    <pic:cNvPr descr="patients-per-month.png" id="116" name="Picture"/>
                    <pic:cNvPicPr>
                      <a:picLocks noChangeArrowheads="1" noChangeAspect="1"/>
                    </pic:cNvPicPr>
                  </pic:nvPicPr>
                  <pic:blipFill>
                    <a:blip r:embed="rId114"/>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7" w:name="fig:patients-per-month-figure"/>
      <w:bookmarkEnd w:id="117"/>
      <w:r>
        <w:t xml:space="preserve">Figure 1: Number of patients included per cluster per month. Due to an error in the data uploading process, data was only available for one and three months for two clusters respectively.</w:t>
      </w:r>
    </w:p>
    <w:p>
      <w:pPr>
        <w:pStyle w:val="TextBody"/>
      </w:pPr>
      <w:r>
        <w:t xml:space="preserve">The study flow diagram is shown in Figure</w:t>
      </w:r>
      <w:r>
        <w:t xml:space="preserve"> </w:t>
      </w:r>
      <w:r>
        <w:t xml:space="preserve">2</w:t>
      </w:r>
      <w:r>
        <w:t xml:space="preserve"> </w:t>
      </w:r>
      <w:r>
        <w:t xml:space="preserve">and patient sample characteristics across trial arms are shown in Table</w:t>
      </w:r>
      <w:r>
        <w:t xml:space="preserve"> </w:t>
      </w:r>
      <w:r>
        <w:t xml:space="preserve">??</w:t>
      </w:r>
      <w:r>
        <w:t xml:space="preserve">. Extended patient sample characteristics are shown in Supplementary Table S2. Overall, the number of females were 86 (23%), the median (IQR) age was 33 (24, 46) years, and the median ISS (IQR) was 4 (1, 8). These prognostic factors differed between the trial arms. A total of 32 (10%) patients died within 30 days after arrival to the emergency department, and 29 (8%) patients died in hospital.</w:t>
      </w:r>
    </w:p>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w:t>
      </w:r>
      <w:r>
        <w:rPr>
          <w:vertAlign w:val="superscript"/>
        </w:rPr>
        <w:t xml:space="preserve">®</w:t>
      </w:r>
      <w:r>
        <w:t xml:space="preserve"> </w:t>
      </w:r>
      <w:r>
        <w:t xml:space="preserve">and PTC arms respectively.</w:t>
      </w:r>
    </w:p>
    <w:p>
      <w:pPr>
        <w:pStyle w:val="CaptionedFigure"/>
      </w:pPr>
      <w:r>
        <w:drawing>
          <wp:inline>
            <wp:extent cx="5943600" cy="2796988"/>
            <wp:effectExtent b="0" l="0" r="0" t="0"/>
            <wp:docPr descr="Figure 2: Study flow diagram. Abbreviations: ATLS, Advanced Trauma Life Support; PTC, Primary Trauma Care." title="" id="119" name="Picture"/>
            <a:graphic>
              <a:graphicData uri="http://schemas.openxmlformats.org/drawingml/2006/picture">
                <pic:pic>
                  <pic:nvPicPr>
                    <pic:cNvPr descr="consort-flow-diagram.png" id="120" name="Picture"/>
                    <pic:cNvPicPr>
                      <a:picLocks noChangeArrowheads="1" noChangeAspect="1"/>
                    </pic:cNvPicPr>
                  </pic:nvPicPr>
                  <pic:blipFill>
                    <a:blip r:embed="rId118"/>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1" w:name="fig:flow-diagram"/>
      <w:bookmarkEnd w:id="121"/>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2" w:name="outcomes"/>
    <w:p>
      <w:pPr>
        <w:pStyle w:val="Heading2"/>
      </w:pPr>
      <w:r>
        <w:t xml:space="preserve">Outcomes</w:t>
      </w:r>
    </w:p>
    <w:p>
      <w:pPr>
        <w:pStyle w:val="FirstParagraph"/>
      </w:pPr>
      <w:r>
        <w:t xml:space="preserve">The percentage of patients who consented to follow up was 77% and the lost to follow up rate was 14%. The missing data rate ranged from 0 to 50%, with details for selected variables shown in Table</w:t>
      </w:r>
      <w:r>
        <w:t xml:space="preserve"> </w:t>
      </w:r>
      <w:r>
        <w:t xml:space="preserve">??</w:t>
      </w:r>
      <w:r>
        <w:t xml:space="preserve"> </w:t>
      </w:r>
      <w:r>
        <w:t xml:space="preserve">and in Supplementary Table S2. The variables with the maximum amount of missing data were the cost of treatment, complications and cause of death, also reported in Supplementary Tables S2.</w:t>
      </w:r>
    </w:p>
    <w:p>
      <w:pPr>
        <w:pStyle w:val="TextBody"/>
      </w:pPr>
      <w:r>
        <w:t xml:space="preserve">The differences in distributions between directly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the data extracted from medical records compared to the directly observed data.</w:t>
      </w:r>
    </w:p>
    <w:p>
      <w:pPr>
        <w:pStyle w:val="TextBody"/>
      </w:pPr>
      <w:r>
        <w:t xml:space="preserve">The percentage of residents who consented to training was 100% and the pass rate was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2"/>
    <w:bookmarkEnd w:id="123"/>
    <w:bookmarkStart w:id="124" w:name="discussion"/>
    <w:p>
      <w:pPr>
        <w:pStyle w:val="Heading1"/>
      </w:pPr>
      <w:r>
        <w:t xml:space="preserve">Discussion</w:t>
      </w:r>
    </w:p>
    <w:p>
      <w:pPr>
        <w:pStyle w:val="FirstParagraph"/>
      </w:pPr>
      <w:r>
        <w:t xml:space="preserve">We show that it is feasible to conduct and collect data for a cluster randomised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 To improve completeness of data extracted from the medical records, a full scale trial should limit the number of variables extracted from the medical records and the importance of having these registered should be emphasised to the participating hospitals.</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35,36</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 Following up patients after discharge is notoriously challenging in the setting of this study, and the full scale trial might need to focus on in-hospital mortality as the primary outcome.</w:t>
      </w:r>
    </w:p>
    <w:p>
      <w:pPr>
        <w:pStyle w:val="TextBody"/>
      </w:pPr>
      <w:r>
        <w:t xml:space="preserve">During the course of this pilot study we deviated from the protocol in several ways. The most important deviation was the revision of the aim of this pilot study, because we initially planned to estimate potential effect sizes and other measures to help sample size calculations for a full scale trial, in addition to the feasibility outcomes. However, current guidance advice against using pilot studies to estimate effect sizes, as the usefulness of these estimates is questionable</w:t>
      </w:r>
      <w:r>
        <w:rPr>
          <w:vertAlign w:val="superscript"/>
        </w:rPr>
        <w:t xml:space="preserve">28,37</w:t>
      </w:r>
      <w:r>
        <w:t xml:space="preserve">. We therefore decided to only report patient outcomes descriptively. Another important deviation from the protocol was the training of emergency medicine residents. We initially planned to train only surgical residents, but trauma management routines varied between participating hospitals, and we decided to adapt to local routines. The full scale study will need to accommodate this variation as part of the protocol.</w:t>
      </w:r>
    </w:p>
    <w:p>
      <w:pPr>
        <w:pStyle w:val="TextBody"/>
      </w:pPr>
      <w:r>
        <w:t xml:space="preserve">There are some important limitations of this pilot study and therefore additional lessons to be learned and factored into the design of the full-scale trial. First, the volumes of patients included at some of the participating hospitals were lower than expected. A careful assessment of patient volumes as part of the screening process will be needed for the full-scale trial. Second, data on complications and cause of death were almost universally missing. To collect data on these variables will require other methods, as these were not explicitly described in the medical records and autopsy reports are not readily available. Third, we did not collect in-depth data on the standard care at each hospital. This data should be collected as part of the screening process for the full-scale trial. Fourth, we used sealed envelopes for randomisation, which increases the risk of bias and errors. The full scale trial should use a computer-generated randomisation system. Fifth, we did not blind the data analysts, but recommend doing so in the full scale trial. Fifth, we assessed a very large number of potential outcomes, and the full scale trial should focus on the most relevant outcomes. Finally, because of a data uploading error, there was only limited data available from two clusters. At the time of data collection, network issues and other technical issues were a challenge in some of the clusters, and this can be mitigated in the full scale trial by using a more robust data collection system with local offline backups.</w:t>
      </w:r>
    </w:p>
    <w:p>
      <w:pPr>
        <w:pStyle w:val="TextBody"/>
      </w:pPr>
      <w:r>
        <w:t xml:space="preserve">Previous studies on the effect of ATLS</w:t>
      </w:r>
      <w:r>
        <w:rPr>
          <w:vertAlign w:val="superscript"/>
        </w:rPr>
        <w:t xml:space="preserve">®</w:t>
      </w:r>
      <w:r>
        <w:t xml:space="preserve"> </w:t>
      </w:r>
      <w:r>
        <w:t xml:space="preserve">or PTC training on patient outcomes are observational or quasi-experimental without a control group, with heterogeneous results</w:t>
      </w:r>
      <w:r>
        <w:rPr>
          <w:vertAlign w:val="superscript"/>
        </w:rPr>
        <w:t xml:space="preserve">8</w:t>
      </w:r>
      <w:r>
        <w:t xml:space="preserve">. Most studies have found that these programmes are associated with improved outcomes, although not all studies have found significant effects</w:t>
      </w:r>
      <w:r>
        <w:rPr>
          <w:vertAlign w:val="superscript"/>
        </w:rPr>
        <w:t xml:space="preserve">7,9,10,12,14–18,20,21</w:t>
      </w:r>
      <w:r>
        <w:t xml:space="preserve">. In contrast, some studies have found that these programmes may be associated with increased mortality</w:t>
      </w:r>
      <w:r>
        <w:rPr>
          <w:vertAlign w:val="superscript"/>
        </w:rPr>
        <w:t xml:space="preserve">13,19</w:t>
      </w:r>
      <w:r>
        <w:t xml:space="preserve">. We found fewer deaths in the intervention arms compared to the standard arm. This difference may have resulted from the randomisation process with a small number of heterogeneous clusters, highlighting the importance of taking varying cluster sizes into account when designing the full scale trial.</w:t>
      </w:r>
    </w:p>
    <w:p>
      <w:pPr>
        <w:pStyle w:val="TextBody"/>
      </w:pPr>
      <w:r>
        <w:t xml:space="preserve">A full scale trial remains ethical after this pilot study, considering that it was never powered to detect meaningful differences in clinical outcomes. In addition, educating physicians in trauma life support through programmes like ATLS</w:t>
      </w:r>
      <w:r>
        <w:rPr>
          <w:vertAlign w:val="superscript"/>
        </w:rPr>
        <w:t xml:space="preserve">®</w:t>
      </w:r>
      <w:r>
        <w:t xml:space="preserve"> </w:t>
      </w:r>
      <w:r>
        <w:t xml:space="preserve">and PTC is considered standard care in many settings, but this approach has been criticised for being costly and for propogating outdated practices</w:t>
      </w:r>
      <w:r>
        <w:rPr>
          <w:vertAlign w:val="superscript"/>
        </w:rPr>
        <w:t xml:space="preserve">38</w:t>
      </w:r>
      <w:r>
        <w:t xml:space="preserve">. Several systematic reviews call for trials in settings where these programmes are not routinely implemented</w:t>
      </w:r>
      <w:r>
        <w:rPr>
          <w:vertAlign w:val="superscript"/>
        </w:rPr>
        <w:t xml:space="preserve">2–4</w:t>
      </w:r>
      <w:r>
        <w:t xml:space="preserve">, and in recognition of their wide use and high face validity, a stepped-wedge design in which all clusters receive the intervention but at randomised time points may be the best option.</w:t>
      </w:r>
    </w:p>
    <w:p>
      <w:pPr>
        <w:pStyle w:val="TextBody"/>
      </w:pPr>
      <w:r>
        <w:t xml:space="preserve">Our study represents the first published attempt to pilot a controlled trial of the effect of trauma life support training on patient outcomes, and we conclude that conducting a full-scale cluster randomised trial should be feasible after incorporating the lessons of this pilot study.</w:t>
      </w:r>
    </w:p>
    <w:bookmarkEnd w:id="124"/>
    <w:bookmarkStart w:id="125" w:name="contributorship-statement"/>
    <w:p>
      <w:pPr>
        <w:pStyle w:val="Heading1"/>
      </w:pPr>
      <w:r>
        <w:t xml:space="preserve">Contributorship statement</w:t>
      </w:r>
    </w:p>
    <w:p>
      <w:pPr>
        <w:pStyle w:val="FirstParagraph"/>
      </w:pPr>
      <w:r>
        <w:t xml:space="preserve">MGW conceived of the study, performed the analysis and drafted and revised the manuscript. AG, AM, CJ, DKV, HS, JB, KDS, LFT, LS, MH, MK, NR, PB, PP, RS, SD, and VK contributed to the design of the</w:t>
      </w:r>
      <w:r>
        <w:t xml:space="preserve"> </w:t>
      </w:r>
      <w:r>
        <w:t xml:space="preserve">study. MGV, DKV, KDS, and MK drafted the first version of the</w:t>
      </w:r>
      <w:r>
        <w:t xml:space="preserve"> </w:t>
      </w:r>
      <w:r>
        <w:t xml:space="preserve">protocol. AG, HS, and SD drafted the first version of the patient and</w:t>
      </w:r>
      <w:r>
        <w:t xml:space="preserve"> </w:t>
      </w:r>
      <w:r>
        <w:t xml:space="preserve">public involvement activities. JB and PP drafted the first versions of</w:t>
      </w:r>
      <w:r>
        <w:t xml:space="preserve"> </w:t>
      </w:r>
      <w:r>
        <w:t xml:space="preserve">the data management sections and wrote the data management plan. PB</w:t>
      </w:r>
      <w:r>
        <w:t xml:space="preserve"> </w:t>
      </w:r>
      <w:r>
        <w:t xml:space="preserve">and PP drafted the first versions of the statistical analysis</w:t>
      </w:r>
      <w:r>
        <w:t xml:space="preserve"> </w:t>
      </w:r>
      <w:r>
        <w:t xml:space="preserve">section. AG, AM, CJ, DKV, HS, JB, KDS, LFT, LS, MH, MGW, MK, NR, PB,</w:t>
      </w:r>
      <w:r>
        <w:t xml:space="preserve"> </w:t>
      </w:r>
      <w:r>
        <w:t xml:space="preserve">PP, RS, SC, SD, and VK contributed to the refinement of the</w:t>
      </w:r>
      <w:r>
        <w:t xml:space="preserve"> </w:t>
      </w:r>
      <w:r>
        <w:t xml:space="preserve">protocol. DB, JB, SC, LFT, GG, MK, TK, CJ, NR, RS, KDS, LS and VP interpreted the results and revised the manuscript. AR, AC, C, DK, GG, MK, MT, VK and VP are representatives of participating hospitals.</w:t>
      </w:r>
    </w:p>
    <w:bookmarkEnd w:id="125"/>
    <w:bookmarkStart w:id="126"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126"/>
    <w:bookmarkStart w:id="127"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7"/>
    <w:bookmarkStart w:id="128" w:name="data-sharing-statement"/>
    <w:p>
      <w:pPr>
        <w:pStyle w:val="Heading1"/>
      </w:pPr>
      <w:r>
        <w:t xml:space="preserve">Data Sharing Statement</w:t>
      </w:r>
    </w:p>
    <w:p>
      <w:pPr>
        <w:pStyle w:val="FirstParagraph"/>
      </w:pPr>
      <w:r>
        <w:t xml:space="preserve">The code for analysis is released publicly. The final anonymized dataset is available from the corresponding author on request.</w:t>
      </w:r>
    </w:p>
    <w:p>
      <w:r>
        <w:br w:type="page"/>
      </w:r>
    </w:p>
    <w:bookmarkEnd w:id="128"/>
    <w:bookmarkStart w:id="201" w:name="references"/>
    <w:p>
      <w:pPr>
        <w:pStyle w:val="Heading1"/>
      </w:pPr>
      <w:r>
        <w:t xml:space="preserve">References</w:t>
      </w:r>
    </w:p>
    <w:bookmarkStart w:id="200" w:name="refs"/>
    <w:bookmarkStart w:id="130" w:name="ref-injuries2020"/>
    <w:p>
      <w:pPr>
        <w:pStyle w:val="Bibliography"/>
      </w:pPr>
      <w:r>
        <w:t xml:space="preserve">1.</w:t>
      </w:r>
      <w:r>
        <w:t xml:space="preserve"> </w:t>
      </w:r>
      <w:r>
        <w:t xml:space="preserve">	</w:t>
      </w:r>
      <w:r>
        <w:t xml:space="preserve">GBD 2019 Diseases and Injuries Collaborators.</w:t>
      </w:r>
      <w:r>
        <w:t xml:space="preserve"> </w:t>
      </w:r>
      <w:hyperlink r:id="rId129">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0"/>
    <w:bookmarkStart w:id="132"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1">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2"/>
    <w:bookmarkStart w:id="134"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3">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4"/>
    <w:bookmarkStart w:id="136"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5">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6"/>
    <w:bookmarkStart w:id="137"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7"/>
    <w:bookmarkStart w:id="138"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8"/>
    <w:bookmarkStart w:id="140"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39">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0"/>
    <w:bookmarkStart w:id="141"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1"/>
    <w:bookmarkStart w:id="143"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2">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3"/>
    <w:bookmarkStart w:id="145"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4">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5"/>
    <w:bookmarkStart w:id="147"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6">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7"/>
    <w:bookmarkStart w:id="148"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8"/>
    <w:bookmarkStart w:id="150"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49">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0"/>
    <w:bookmarkStart w:id="152"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1">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2"/>
    <w:bookmarkStart w:id="154"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3">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4"/>
    <w:bookmarkStart w:id="156"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5">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6"/>
    <w:bookmarkStart w:id="158"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7">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8"/>
    <w:bookmarkStart w:id="159"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59"/>
    <w:bookmarkStart w:id="161"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0">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1"/>
    <w:bookmarkStart w:id="163" w:name="ref-kamau_impact_2024"/>
    <w:p>
      <w:pPr>
        <w:pStyle w:val="Bibliography"/>
      </w:pPr>
      <w:r>
        <w:t xml:space="preserve">20.</w:t>
      </w:r>
      <w:r>
        <w:t xml:space="preserve"> </w:t>
      </w:r>
      <w:r>
        <w:t xml:space="preserve">	</w:t>
      </w:r>
      <w:r>
        <w:t xml:space="preserve">Kamau, C.</w:t>
      </w:r>
      <w:r>
        <w:t xml:space="preserve"> </w:t>
      </w:r>
      <w:r>
        <w:rPr>
          <w:iCs/>
          <w:i/>
        </w:rPr>
        <w:t xml:space="preserve">et al.</w:t>
      </w:r>
      <w:r>
        <w:t xml:space="preserve"> </w:t>
      </w:r>
      <w:hyperlink r:id="rId162">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3"/>
    <w:bookmarkStart w:id="165" w:name="ref-kumar_evaluating_2025"/>
    <w:p>
      <w:pPr>
        <w:pStyle w:val="Bibliography"/>
      </w:pPr>
      <w:r>
        <w:t xml:space="preserve">21.</w:t>
      </w:r>
      <w:r>
        <w:t xml:space="preserve"> </w:t>
      </w:r>
      <w:r>
        <w:t xml:space="preserve">	</w:t>
      </w:r>
      <w:r>
        <w:t xml:space="preserve">Kumar, S.</w:t>
      </w:r>
      <w:r>
        <w:t xml:space="preserve"> </w:t>
      </w:r>
      <w:r>
        <w:rPr>
          <w:iCs/>
          <w:i/>
        </w:rPr>
        <w:t xml:space="preserve">et al.</w:t>
      </w:r>
      <w:r>
        <w:t xml:space="preserve"> </w:t>
      </w:r>
      <w:hyperlink r:id="rId164">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5"/>
    <w:bookmarkStart w:id="167" w:name="ref-Jin2021"/>
    <w:p>
      <w:pPr>
        <w:pStyle w:val="Bibliography"/>
      </w:pPr>
      <w:r>
        <w:t xml:space="preserve">22.</w:t>
      </w:r>
      <w:r>
        <w:t xml:space="preserve"> </w:t>
      </w:r>
      <w:r>
        <w:t xml:space="preserve">	</w:t>
      </w:r>
      <w:r>
        <w:t xml:space="preserve">Jin, J.</w:t>
      </w:r>
      <w:r>
        <w:t xml:space="preserve"> </w:t>
      </w:r>
      <w:r>
        <w:rPr>
          <w:iCs/>
          <w:i/>
        </w:rPr>
        <w:t xml:space="preserve">et al.</w:t>
      </w:r>
      <w:r>
        <w:t xml:space="preserve"> </w:t>
      </w:r>
      <w:hyperlink r:id="rId166">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7"/>
    <w:bookmarkStart w:id="169" w:name="ref-putra_impact_2023"/>
    <w:p>
      <w:pPr>
        <w:pStyle w:val="Bibliography"/>
      </w:pPr>
      <w:r>
        <w:t xml:space="preserve">23.</w:t>
      </w:r>
      <w:r>
        <w:t xml:space="preserve"> </w:t>
      </w:r>
      <w:r>
        <w:t xml:space="preserve">	</w:t>
      </w:r>
      <w:r>
        <w:t xml:space="preserve">Putra, A. B.</w:t>
      </w:r>
      <w:r>
        <w:t xml:space="preserve"> </w:t>
      </w:r>
      <w:r>
        <w:rPr>
          <w:iCs/>
          <w:i/>
        </w:rPr>
        <w:t xml:space="preserve">et al.</w:t>
      </w:r>
      <w:r>
        <w:t xml:space="preserve"> </w:t>
      </w:r>
      <w:hyperlink r:id="rId168">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69"/>
    <w:bookmarkStart w:id="171" w:name="ref-mciver_effect_2024"/>
    <w:p>
      <w:pPr>
        <w:pStyle w:val="Bibliography"/>
      </w:pPr>
      <w:r>
        <w:t xml:space="preserve">24.</w:t>
      </w:r>
      <w:r>
        <w:t xml:space="preserve"> </w:t>
      </w:r>
      <w:r>
        <w:t xml:space="preserve">	</w:t>
      </w:r>
      <w:r>
        <w:t xml:space="preserve">McIver, R.</w:t>
      </w:r>
      <w:r>
        <w:t xml:space="preserve"> </w:t>
      </w:r>
      <w:r>
        <w:rPr>
          <w:iCs/>
          <w:i/>
        </w:rPr>
        <w:t xml:space="preserve">et al.</w:t>
      </w:r>
      <w:r>
        <w:t xml:space="preserve"> </w:t>
      </w:r>
      <w:hyperlink r:id="rId170">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71"/>
    <w:bookmarkStart w:id="173" w:name="ref-Ali1996"/>
    <w:p>
      <w:pPr>
        <w:pStyle w:val="Bibliography"/>
      </w:pPr>
      <w:r>
        <w:t xml:space="preserve">25.</w:t>
      </w:r>
      <w:r>
        <w:t xml:space="preserve"> </w:t>
      </w:r>
      <w:r>
        <w:t xml:space="preserve">	</w:t>
      </w:r>
      <w:r>
        <w:t xml:space="preserve">Ali, J.</w:t>
      </w:r>
      <w:r>
        <w:t xml:space="preserve"> </w:t>
      </w:r>
      <w:r>
        <w:rPr>
          <w:iCs/>
          <w:i/>
        </w:rPr>
        <w:t xml:space="preserve">et al.</w:t>
      </w:r>
      <w:r>
        <w:t xml:space="preserve"> </w:t>
      </w:r>
      <w:hyperlink r:id="rId172">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3"/>
    <w:bookmarkStart w:id="175" w:name="ref-Ali1999"/>
    <w:p>
      <w:pPr>
        <w:pStyle w:val="Bibliography"/>
      </w:pPr>
      <w:r>
        <w:t xml:space="preserve">26.</w:t>
      </w:r>
      <w:r>
        <w:t xml:space="preserve"> </w:t>
      </w:r>
      <w:r>
        <w:t xml:space="preserve">	</w:t>
      </w:r>
      <w:r>
        <w:t xml:space="preserve">Ali, J.</w:t>
      </w:r>
      <w:r>
        <w:t xml:space="preserve"> </w:t>
      </w:r>
      <w:r>
        <w:rPr>
          <w:iCs/>
          <w:i/>
        </w:rPr>
        <w:t xml:space="preserve">et al.</w:t>
      </w:r>
      <w:r>
        <w:t xml:space="preserve"> </w:t>
      </w:r>
      <w:hyperlink r:id="rId174">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5"/>
    <w:bookmarkStart w:id="177" w:name="ref-GerdinWärnberg2022"/>
    <w:p>
      <w:pPr>
        <w:pStyle w:val="Bibliography"/>
      </w:pPr>
      <w:r>
        <w:t xml:space="preserve">27.</w:t>
      </w:r>
      <w:r>
        <w:t xml:space="preserve"> </w:t>
      </w:r>
      <w:r>
        <w:t xml:space="preserve">	</w:t>
      </w:r>
      <w:r>
        <w:t xml:space="preserve">Gerdin Wärnberg, M.</w:t>
      </w:r>
      <w:r>
        <w:t xml:space="preserve"> </w:t>
      </w:r>
      <w:r>
        <w:rPr>
          <w:iCs/>
          <w:i/>
        </w:rPr>
        <w:t xml:space="preserve">et al.</w:t>
      </w:r>
      <w:r>
        <w:t xml:space="preserve"> </w:t>
      </w:r>
      <w:hyperlink r:id="rId176">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7"/>
    <w:bookmarkStart w:id="179" w:name="ref-teresi_guidelines_2022"/>
    <w:p>
      <w:pPr>
        <w:pStyle w:val="Bibliography"/>
      </w:pPr>
      <w:r>
        <w:t xml:space="preserve">28.</w:t>
      </w:r>
      <w:r>
        <w:t xml:space="preserve"> </w:t>
      </w:r>
      <w:r>
        <w:t xml:space="preserve">	</w:t>
      </w:r>
      <w:r>
        <w:t xml:space="preserve">Teresi, J. A.</w:t>
      </w:r>
      <w:r>
        <w:t xml:space="preserve"> </w:t>
      </w:r>
      <w:r>
        <w:rPr>
          <w:iCs/>
          <w:i/>
        </w:rPr>
        <w:t xml:space="preserve">et al.</w:t>
      </w:r>
      <w:r>
        <w:t xml:space="preserve"> </w:t>
      </w:r>
      <w:hyperlink r:id="rId178">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79"/>
    <w:bookmarkStart w:id="181" w:name="ref-icdpicr_2022"/>
    <w:p>
      <w:pPr>
        <w:pStyle w:val="Bibliography"/>
      </w:pPr>
      <w:r>
        <w:t xml:space="preserve">29.</w:t>
      </w:r>
      <w:r>
        <w:t xml:space="preserve"> </w:t>
      </w:r>
      <w:r>
        <w:t xml:space="preserve">	</w:t>
      </w:r>
      <w:r>
        <w:t xml:space="preserve">Black, A.</w:t>
      </w:r>
      <w:r>
        <w:t xml:space="preserve"> </w:t>
      </w:r>
      <w:r>
        <w:rPr>
          <w:iCs/>
          <w:i/>
        </w:rPr>
        <w:t xml:space="preserve">et al.</w:t>
      </w:r>
      <w:r>
        <w:t xml:space="preserve"> </w:t>
      </w:r>
      <w:hyperlink r:id="rId180">
        <w:r>
          <w:rPr>
            <w:rStyle w:val="InternetLink"/>
            <w:iCs/>
            <w:i/>
          </w:rPr>
          <w:t xml:space="preserve">Icdpicr: ’ICD’ programs for injury categorization in r</w:t>
        </w:r>
      </w:hyperlink>
      <w:r>
        <w:t xml:space="preserve">. (2022).</w:t>
      </w:r>
    </w:p>
    <w:bookmarkEnd w:id="181"/>
    <w:bookmarkStart w:id="183" w:name="ref-jyani_development_2022"/>
    <w:p>
      <w:pPr>
        <w:pStyle w:val="Bibliography"/>
      </w:pPr>
      <w:r>
        <w:t xml:space="preserve">30.</w:t>
      </w:r>
      <w:r>
        <w:t xml:space="preserve"> </w:t>
      </w:r>
      <w:r>
        <w:t xml:space="preserve">	</w:t>
      </w:r>
      <w:r>
        <w:t xml:space="preserve">Jyani, G.</w:t>
      </w:r>
      <w:r>
        <w:t xml:space="preserve"> </w:t>
      </w:r>
      <w:r>
        <w:rPr>
          <w:iCs/>
          <w:i/>
        </w:rPr>
        <w:t xml:space="preserve">et al.</w:t>
      </w:r>
      <w:r>
        <w:t xml:space="preserve"> </w:t>
      </w:r>
      <w:hyperlink r:id="rId182">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83"/>
    <w:bookmarkStart w:id="185" w:name="ref-david_patient-reported_2024"/>
    <w:p>
      <w:pPr>
        <w:pStyle w:val="Bibliography"/>
      </w:pPr>
      <w:r>
        <w:t xml:space="preserve">31.</w:t>
      </w:r>
      <w:r>
        <w:t xml:space="preserve"> </w:t>
      </w:r>
      <w:r>
        <w:t xml:space="preserve">	</w:t>
      </w:r>
      <w:r>
        <w:t xml:space="preserve">David, S.</w:t>
      </w:r>
      <w:r>
        <w:t xml:space="preserve"> </w:t>
      </w:r>
      <w:r>
        <w:rPr>
          <w:iCs/>
          <w:i/>
        </w:rPr>
        <w:t xml:space="preserve">et al.</w:t>
      </w:r>
      <w:r>
        <w:t xml:space="preserve"> </w:t>
      </w:r>
      <w:hyperlink r:id="rId184">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5"/>
    <w:bookmarkStart w:id="187" w:name="ref-R_2024"/>
    <w:p>
      <w:pPr>
        <w:pStyle w:val="Bibliography"/>
      </w:pPr>
      <w:r>
        <w:t xml:space="preserve">32.</w:t>
      </w:r>
      <w:r>
        <w:t xml:space="preserve"> </w:t>
      </w:r>
      <w:r>
        <w:t xml:space="preserve">	</w:t>
      </w:r>
      <w:r>
        <w:t xml:space="preserve">R Core Team.</w:t>
      </w:r>
      <w:r>
        <w:t xml:space="preserve"> </w:t>
      </w:r>
      <w:hyperlink r:id="rId186">
        <w:r>
          <w:rPr>
            <w:rStyle w:val="InternetLink"/>
            <w:iCs/>
            <w:i/>
          </w:rPr>
          <w:t xml:space="preserve">R: A language and environment for statistical computing</w:t>
        </w:r>
      </w:hyperlink>
      <w:r>
        <w:t xml:space="preserve">. (R Foundation for Statistical Computing, 2024).</w:t>
      </w:r>
    </w:p>
    <w:bookmarkEnd w:id="187"/>
    <w:bookmarkStart w:id="189" w:name="ref-Lee2014"/>
    <w:p>
      <w:pPr>
        <w:pStyle w:val="Bibliography"/>
      </w:pPr>
      <w:r>
        <w:t xml:space="preserve">33.</w:t>
      </w:r>
      <w:r>
        <w:t xml:space="preserve"> </w:t>
      </w:r>
      <w:r>
        <w:t xml:space="preserve">	</w:t>
      </w:r>
      <w:r>
        <w:t xml:space="preserve">Lee, E. C.</w:t>
      </w:r>
      <w:r>
        <w:t xml:space="preserve"> </w:t>
      </w:r>
      <w:r>
        <w:rPr>
          <w:iCs/>
          <w:i/>
        </w:rPr>
        <w:t xml:space="preserve">et al.</w:t>
      </w:r>
      <w:r>
        <w:t xml:space="preserve"> </w:t>
      </w:r>
      <w:hyperlink r:id="rId188">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89"/>
    <w:bookmarkStart w:id="191" w:name="ref-warnberg_additional_2025"/>
    <w:p>
      <w:pPr>
        <w:pStyle w:val="Bibliography"/>
      </w:pPr>
      <w:r>
        <w:t xml:space="preserve">34.</w:t>
      </w:r>
      <w:r>
        <w:t xml:space="preserve"> </w:t>
      </w:r>
      <w:r>
        <w:t xml:space="preserve">	</w:t>
      </w:r>
      <w:r>
        <w:t xml:space="preserve">Wärnberg, M.</w:t>
      </w:r>
      <w:r>
        <w:t xml:space="preserve"> </w:t>
      </w:r>
      <w:hyperlink r:id="rId190">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(2025).</w:t>
      </w:r>
    </w:p>
    <w:bookmarkEnd w:id="191"/>
    <w:bookmarkStart w:id="193" w:name="ref-Roberts2013"/>
    <w:p>
      <w:pPr>
        <w:pStyle w:val="Bibliography"/>
      </w:pPr>
      <w:r>
        <w:t xml:space="preserve">35.</w:t>
      </w:r>
      <w:r>
        <w:t xml:space="preserve"> </w:t>
      </w:r>
      <w:r>
        <w:t xml:space="preserve">	</w:t>
      </w:r>
      <w:r>
        <w:t xml:space="preserve">Roberts, I.</w:t>
      </w:r>
      <w:r>
        <w:t xml:space="preserve"> </w:t>
      </w:r>
      <w:r>
        <w:rPr>
          <w:iCs/>
          <w:i/>
        </w:rPr>
        <w:t xml:space="preserve">et al.</w:t>
      </w:r>
      <w:r>
        <w:t xml:space="preserve"> </w:t>
      </w:r>
      <w:hyperlink r:id="rId192">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93"/>
    <w:bookmarkStart w:id="195" w:name="ref-Sierink2016"/>
    <w:p>
      <w:pPr>
        <w:pStyle w:val="Bibliography"/>
      </w:pPr>
      <w:r>
        <w:t xml:space="preserve">36.</w:t>
      </w:r>
      <w:r>
        <w:t xml:space="preserve"> </w:t>
      </w:r>
      <w:r>
        <w:t xml:space="preserve">	</w:t>
      </w:r>
      <w:r>
        <w:t xml:space="preserve">Sierink, J. C.</w:t>
      </w:r>
      <w:r>
        <w:t xml:space="preserve"> </w:t>
      </w:r>
      <w:r>
        <w:rPr>
          <w:iCs/>
          <w:i/>
        </w:rPr>
        <w:t xml:space="preserve">et al.</w:t>
      </w:r>
      <w:r>
        <w:t xml:space="preserve"> </w:t>
      </w:r>
      <w:hyperlink r:id="rId194">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95"/>
    <w:bookmarkStart w:id="197" w:name="ref-eldridge_how_2015"/>
    <w:p>
      <w:pPr>
        <w:pStyle w:val="Bibliography"/>
      </w:pPr>
      <w:r>
        <w:t xml:space="preserve">37.</w:t>
      </w:r>
      <w:r>
        <w:t xml:space="preserve"> </w:t>
      </w:r>
      <w:r>
        <w:t xml:space="preserve">	</w:t>
      </w:r>
      <w:r>
        <w:t xml:space="preserve">Eldridge, S. M.</w:t>
      </w:r>
      <w:r>
        <w:t xml:space="preserve"> </w:t>
      </w:r>
      <w:r>
        <w:rPr>
          <w:iCs/>
          <w:i/>
        </w:rPr>
        <w:t xml:space="preserve">et al.</w:t>
      </w:r>
      <w:r>
        <w:t xml:space="preserve"> </w:t>
      </w:r>
      <w:hyperlink r:id="rId196">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7"/>
    <w:bookmarkStart w:id="199" w:name="ref-wiles_atls_2015"/>
    <w:p>
      <w:pPr>
        <w:pStyle w:val="Bibliography"/>
      </w:pPr>
      <w:r>
        <w:t xml:space="preserve">38.</w:t>
      </w:r>
      <w:r>
        <w:t xml:space="preserve"> </w:t>
      </w:r>
      <w:r>
        <w:t xml:space="preserve">	</w:t>
      </w:r>
      <w:r>
        <w:t xml:space="preserve">Wiles, M. D.</w:t>
      </w:r>
      <w:r>
        <w:t xml:space="preserve"> </w:t>
      </w:r>
      <w:hyperlink r:id="rId198">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199"/>
    <w:bookmarkEnd w:id="200"/>
    <w:bookmarkEnd w:id="20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4"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8"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6"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88" Target="https://doi.org/10.1186/1471-2288-14-41" TargetMode="External" /><Relationship Type="http://schemas.openxmlformats.org/officeDocument/2006/relationships/hyperlink" Id="rId162" Target="https://doi.org/10.1186/s12245-024-00713-2" TargetMode="External" /><Relationship Type="http://schemas.openxmlformats.org/officeDocument/2006/relationships/hyperlink" Id="rId192"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90"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4"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8"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6"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88" Target="https://doi.org/10.1186/1471-2288-14-41" TargetMode="External" /><Relationship Type="http://schemas.openxmlformats.org/officeDocument/2006/relationships/hyperlink" Id="rId162" Target="https://doi.org/10.1186/s12245-024-00713-2" TargetMode="External" /><Relationship Type="http://schemas.openxmlformats.org/officeDocument/2006/relationships/hyperlink" Id="rId192"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90"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2025-07-24T03:29:17Z</dcterms:created>
  <dcterms:modified xsi:type="dcterms:W3CDTF">2025-07-24T03:29:17Z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