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21.png" ContentType="image/png"/>
  <Override PartName="/word/media/rId1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r>
        <w:t xml:space="preserve"> </w:t>
      </w:r>
      <w:r>
        <w:t xml:space="preserve">in</w:t>
      </w:r>
      <w:r>
        <w:t xml:space="preserve"> </w:t>
      </w:r>
      <w:r>
        <w:t xml:space="preserve">India</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7" w:name="corresponding-author"/>
    <w:p>
      <w:pPr>
        <w:pStyle w:val="Heading2"/>
      </w:pPr>
      <w:r>
        <w:t xml:space="preserve">Corresponding author</w:t>
      </w:r>
    </w:p>
    <w:bookmarkStart w:id="26" w:name="martin-gerdin-wärnberg-md-phd-mgw"/>
    <w:p>
      <w:pPr>
        <w:pStyle w:val="Heading5"/>
      </w:pPr>
      <w:r>
        <w:t xml:space="preserve">Martin Gerdin Wärnberg, MD, PhD (MGW)</w:t>
      </w:r>
      <w:r>
        <w:t xml:space="preserve"> </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(mobile)figure</w:t>
      </w:r>
    </w:p>
    <w:bookmarkEnd w:id="26"/>
    <w:bookmarkEnd w:id="27"/>
    <w:bookmarkStart w:id="77" w:name="Xd83f25f3db64f89572487c55f96f5fd80e998aa"/>
    <w:p>
      <w:pPr>
        <w:pStyle w:val="Heading2"/>
      </w:pPr>
      <w:r>
        <w:t xml:space="preserve">Authors (in alphabetical order by last name)</w:t>
      </w:r>
    </w:p>
    <w:bookmarkStart w:id="31" w:name="debojit-basak-ms"/>
    <w:p>
      <w:pPr>
        <w:pStyle w:val="Heading5"/>
      </w:pPr>
      <w:r>
        <w:t xml:space="preserve">Debojit Basak, MS</w:t>
      </w:r>
      <w:r>
        <w:t xml:space="preserve"> </w:t>
      </w:r>
      <w:hyperlink r:id="rId30">
        <w:r>
          <w:drawing>
            <wp:inline>
              <wp:extent cx="152400" cy="152400"/>
              <wp:effectExtent b="0" l="0" r="0" t="0"/>
              <wp:docPr descr="" title="" id="28" name="Picture"/>
              <a:graphic>
                <a:graphicData uri="http://schemas.openxmlformats.org/drawingml/2006/picture">
                  <pic:pic>
                    <pic:nvPicPr>
                      <pic:cNvPr descr="https://info.orcid.org/wp-content/uploads/2019/11/orcid_16x16.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Project Research Scientist, Institute of Post Graduate Medical Education and Research, Kolkata, India.</w:t>
      </w:r>
    </w:p>
    <w:bookmarkEnd w:id="31"/>
    <w:bookmarkStart w:id="35" w:name="johanna-berg-md-jb"/>
    <w:p>
      <w:pPr>
        <w:pStyle w:val="Heading5"/>
      </w:pPr>
      <w:r>
        <w:t xml:space="preserve">Johanna Berg, MD (JB)</w:t>
      </w:r>
      <w:r>
        <w:t xml:space="preserve"> </w:t>
      </w:r>
      <w:hyperlink r:id="rId34">
        <w:r>
          <w:drawing>
            <wp:inline>
              <wp:extent cx="152400" cy="152400"/>
              <wp:effectExtent b="0" l="0" r="0" t="0"/>
              <wp:docPr descr="" title="" id="32" name="Picture"/>
              <a:graphic>
                <a:graphicData uri="http://schemas.openxmlformats.org/drawingml/2006/picture">
                  <pic:pic>
                    <pic:nvPicPr>
                      <pic:cNvPr descr="https://info.orcid.org/wp-content/uploads/2019/11/orcid_16x16.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5"/>
    <w:bookmarkStart w:id="39" w:name="shamita-chatterjee-mbbs-ms-sc"/>
    <w:p>
      <w:pPr>
        <w:pStyle w:val="Heading5"/>
      </w:pPr>
      <w:r>
        <w:t xml:space="preserve">Shamita Chatterjee, MBBS, MS (SC)</w:t>
      </w:r>
      <w:r>
        <w:t xml:space="preserve"> </w:t>
      </w:r>
      <w:hyperlink r:id="rId38">
        <w:r>
          <w:drawing>
            <wp:inline>
              <wp:extent cx="152400" cy="152400"/>
              <wp:effectExtent b="0" l="0" r="0" t="0"/>
              <wp:docPr descr="" title="" id="36" name="Picture"/>
              <a:graphic>
                <a:graphicData uri="http://schemas.openxmlformats.org/drawingml/2006/picture">
                  <pic:pic>
                    <pic:nvPicPr>
                      <pic:cNvPr descr="https://info.orcid.org/wp-content/uploads/2019/11/orcid_16x16.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Institute of Post Graduate Medical Education and Research, Kolkata, India.</w:t>
      </w:r>
    </w:p>
    <w:bookmarkEnd w:id="39"/>
    <w:bookmarkStart w:id="43" w:name="li-felländer-tsai-md-phd-lft"/>
    <w:p>
      <w:pPr>
        <w:pStyle w:val="Heading5"/>
      </w:pPr>
      <w:r>
        <w:t xml:space="preserve">Li Felländer-Tsai, MD, PhD (LFT)</w:t>
      </w:r>
      <w:r>
        <w:t xml:space="preserve"> </w:t>
      </w:r>
      <w:hyperlink r:id="rId42">
        <w:r>
          <w:drawing>
            <wp:inline>
              <wp:extent cx="152400" cy="152400"/>
              <wp:effectExtent b="0" l="0" r="0" t="0"/>
              <wp:docPr descr="" title="" id="40" name="Picture"/>
              <a:graphic>
                <a:graphicData uri="http://schemas.openxmlformats.org/drawingml/2006/picture">
                  <pic:pic>
                    <pic:nvPicPr>
                      <pic:cNvPr descr="https://info.orcid.org/wp-content/uploads/2019/11/orcid_16x16.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43"/>
    <w:bookmarkStart w:id="47" w:name="geeta-ghag-gg-mbbs-ms"/>
    <w:p>
      <w:pPr>
        <w:pStyle w:val="Heading5"/>
      </w:pPr>
      <w:r>
        <w:t xml:space="preserve">Geeta Ghag (GG), MBBS, MS</w:t>
      </w:r>
      <w:r>
        <w:t xml:space="preserve"> </w:t>
      </w:r>
      <w:hyperlink r:id="rId46">
        <w:r>
          <w:drawing>
            <wp:inline>
              <wp:extent cx="152400" cy="152400"/>
              <wp:effectExtent b="0" l="0" r="0" t="0"/>
              <wp:docPr descr="" title="" id="44" name="Picture"/>
              <a:graphic>
                <a:graphicData uri="http://schemas.openxmlformats.org/drawingml/2006/picture">
                  <pic:pic>
                    <pic:nvPicPr>
                      <pic:cNvPr descr="https://info.orcid.org/wp-content/uploads/2019/11/orcid_16x16.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47"/>
    <w:bookmarkStart w:id="51" w:name="catherine-juillard-md-mph-cj"/>
    <w:p>
      <w:pPr>
        <w:pStyle w:val="Heading5"/>
      </w:pPr>
      <w:r>
        <w:t xml:space="preserve">Catherine Juillard, MD, MPH (CJ)</w:t>
      </w:r>
      <w:r>
        <w:t xml:space="preserve"> </w:t>
      </w:r>
      <w:hyperlink r:id="rId50">
        <w:r>
          <w:drawing>
            <wp:inline>
              <wp:extent cx="152400" cy="152400"/>
              <wp:effectExtent b="0" l="0" r="0" t="0"/>
              <wp:docPr descr="" title="" id="48" name="Picture"/>
              <a:graphic>
                <a:graphicData uri="http://schemas.openxmlformats.org/drawingml/2006/picture">
                  <pic:pic>
                    <pic:nvPicPr>
                      <pic:cNvPr descr="https://info.orcid.org/wp-content/uploads/2019/11/orcid_16x16.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General Surgery, Department of Surgery, David Geffen School of Medicine at UCLA, Los Angeles, California, United States of America.</w:t>
      </w:r>
    </w:p>
    <w:bookmarkEnd w:id="51"/>
    <w:bookmarkStart w:id="55" w:name="monty-khajanchi-mbbs-ms-mk"/>
    <w:p>
      <w:pPr>
        <w:pStyle w:val="Heading5"/>
      </w:pPr>
      <w:r>
        <w:t xml:space="preserve">Monty Khajanchi, MBBS, MS (MK)</w:t>
      </w:r>
      <w:r>
        <w:t xml:space="preserve"> </w:t>
      </w:r>
      <w:hyperlink r:id="rId54">
        <w:r>
          <w:drawing>
            <wp:inline>
              <wp:extent cx="152400" cy="152400"/>
              <wp:effectExtent b="0" l="0" r="0" t="0"/>
              <wp:docPr descr="" title="" id="52" name="Picture"/>
              <a:graphic>
                <a:graphicData uri="http://schemas.openxmlformats.org/drawingml/2006/picture">
                  <pic:pic>
                    <pic:nvPicPr>
                      <pic:cNvPr descr="https://info.orcid.org/wp-content/uploads/2019/11/orcid_16x16.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Seth G. S. Medical College and K.E.M. Hospital, Mumbai, India.</w:t>
      </w:r>
    </w:p>
    <w:bookmarkEnd w:id="55"/>
    <w:bookmarkStart w:id="56" w:name="tamal-khan-msc-tk"/>
    <w:p>
      <w:pPr>
        <w:pStyle w:val="Heading5"/>
      </w:pPr>
      <w:r>
        <w:t xml:space="preserve">Tamal Khan, MSc (TK)</w:t>
      </w:r>
      <w:r>
        <w:t xml:space="preserve"> </w:t>
      </w:r>
    </w:p>
    <w:p>
      <w:pPr>
        <w:pStyle w:val="FirstParagraph"/>
      </w:pPr>
      <w:r>
        <w:t xml:space="preserve">Senior Research fellow, All India Institute of Medical Sciences, New Delhi, India.</w:t>
      </w:r>
    </w:p>
    <w:bookmarkEnd w:id="56"/>
    <w:bookmarkStart w:id="60" w:name="vipul-nandu-mbbs-ms-vn"/>
    <w:p>
      <w:pPr>
        <w:pStyle w:val="Heading5"/>
      </w:pPr>
      <w:r>
        <w:t xml:space="preserve">Vipul Nandu, MBBS, MS (VN)</w:t>
      </w:r>
      <w:r>
        <w:t xml:space="preserve"> </w:t>
      </w:r>
      <w:hyperlink r:id="rId59">
        <w:r>
          <w:drawing>
            <wp:inline>
              <wp:extent cx="152400" cy="152400"/>
              <wp:effectExtent b="0" l="0" r="0" t="0"/>
              <wp:docPr descr="" title="" id="57" name="Picture"/>
              <a:graphic>
                <a:graphicData uri="http://schemas.openxmlformats.org/drawingml/2006/picture">
                  <pic:pic>
                    <pic:nvPicPr>
                      <pic:cNvPr descr="https://info.orcid.org/wp-content/uploads/2019/11/orcid_16x16.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60"/>
    <w:bookmarkStart w:id="64" w:name="nobhojit-roy-mbbs-ms-phd-nr"/>
    <w:p>
      <w:pPr>
        <w:pStyle w:val="Heading5"/>
      </w:pPr>
      <w:r>
        <w:t xml:space="preserve">Nobhojit Roy, MBBS, MS, PhD (NR)</w:t>
      </w:r>
      <w:r>
        <w:t xml:space="preserve"> </w:t>
      </w:r>
      <w:hyperlink r:id="rId63">
        <w:r>
          <w:drawing>
            <wp:inline>
              <wp:extent cx="152400" cy="152400"/>
              <wp:effectExtent b="0" l="0" r="0" t="0"/>
              <wp:docPr descr="" title="" id="61" name="Picture"/>
              <a:graphic>
                <a:graphicData uri="http://schemas.openxmlformats.org/drawingml/2006/picture">
                  <pic:pic>
                    <pic:nvPicPr>
                      <pic:cNvPr descr="https://info.orcid.org/wp-content/uploads/2019/11/orcid_16x16.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Program for Global Surgery and Trauma, The George Institute of Global Health, New Delhi, India.</w:t>
      </w:r>
    </w:p>
    <w:p>
      <w:pPr>
        <w:pStyle w:val="TextBody"/>
      </w:pPr>
      <w:r>
        <w:t xml:space="preserve">Department of Global Public Health, Karolinska Institutet, Stockholm, Sweden.</w:t>
      </w:r>
    </w:p>
    <w:bookmarkEnd w:id="64"/>
    <w:bookmarkStart w:id="68" w:name="rajdeep-singh-mbbs-ms-rs"/>
    <w:p>
      <w:pPr>
        <w:pStyle w:val="Heading5"/>
      </w:pPr>
      <w:r>
        <w:t xml:space="preserve">Rajdeep Singh, MBBS, MS (RS)</w:t>
      </w:r>
      <w:r>
        <w:t xml:space="preserve"> </w:t>
      </w:r>
      <w:hyperlink r:id="rId67">
        <w:r>
          <w:drawing>
            <wp:inline>
              <wp:extent cx="152400" cy="152400"/>
              <wp:effectExtent b="0" l="0" r="0" t="0"/>
              <wp:docPr descr="" title="" id="65" name="Picture"/>
              <a:graphic>
                <a:graphicData uri="http://schemas.openxmlformats.org/drawingml/2006/picture">
                  <pic:pic>
                    <pic:nvPicPr>
                      <pic:cNvPr descr="https://info.orcid.org/wp-content/uploads/2019/11/orcid_16x16.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Maulana Azad Medical College, New Delhi, India.</w:t>
      </w:r>
    </w:p>
    <w:bookmarkEnd w:id="68"/>
    <w:bookmarkStart w:id="72" w:name="kapil-dev-soni-mbbs-md-kds"/>
    <w:p>
      <w:pPr>
        <w:pStyle w:val="Heading5"/>
      </w:pPr>
      <w:r>
        <w:t xml:space="preserve">Kapil Dev Soni, MBBS, MD (KDS)</w:t>
      </w:r>
      <w:r>
        <w:t xml:space="preserve"> </w:t>
      </w:r>
      <w:hyperlink r:id="rId71">
        <w:r>
          <w:drawing>
            <wp:inline>
              <wp:extent cx="152400" cy="152400"/>
              <wp:effectExtent b="0" l="0" r="0" t="0"/>
              <wp:docPr descr="" title="" id="69" name="Picture"/>
              <a:graphic>
                <a:graphicData uri="http://schemas.openxmlformats.org/drawingml/2006/picture">
                  <pic:pic>
                    <pic:nvPicPr>
                      <pic:cNvPr descr="https://info.orcid.org/wp-content/uploads/2019/11/orcid_16x16.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Critical and Intensive Care, JPN Apex Trauma Center, All India Institute of Medical Sciences, New Delhi, India.</w:t>
      </w:r>
    </w:p>
    <w:bookmarkEnd w:id="72"/>
    <w:bookmarkStart w:id="76" w:name="lovisa-strömmer-md-phd-ls"/>
    <w:p>
      <w:pPr>
        <w:pStyle w:val="Heading5"/>
      </w:pPr>
      <w:r>
        <w:t xml:space="preserve">Lovisa Strömmer, MD, PhD (LS)</w:t>
      </w:r>
      <w:r>
        <w:t xml:space="preserve"> </w:t>
      </w:r>
      <w:hyperlink r:id="rId75">
        <w:r>
          <w:drawing>
            <wp:inline>
              <wp:extent cx="152400" cy="152400"/>
              <wp:effectExtent b="0" l="0" r="0" t="0"/>
              <wp:docPr descr="" title="" id="73" name="Picture"/>
              <a:graphic>
                <a:graphicData uri="http://schemas.openxmlformats.org/drawingml/2006/picture">
                  <pic:pic>
                    <pic:nvPicPr>
                      <pic:cNvPr descr="https://info.orcid.org/wp-content/uploads/2019/11/orcid_16x16.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Surgery and Oncology, Department of Clinical Science, Intervention and Technology (CLINTEC), and Department of Global Public Health, Karolinska Institutet, Stockholm, Sweden.</w:t>
      </w:r>
    </w:p>
    <w:bookmarkEnd w:id="76"/>
    <w:bookmarkEnd w:id="77"/>
    <w:bookmarkStart w:id="85" w:name="non-author-contributors"/>
    <w:p>
      <w:pPr>
        <w:pStyle w:val="Heading2"/>
      </w:pPr>
      <w:r>
        <w:t xml:space="preserve">Non-author contributors</w:t>
      </w:r>
    </w:p>
    <w:bookmarkStart w:id="78" w:name="anirban-chatterjee-ac"/>
    <w:p>
      <w:pPr>
        <w:pStyle w:val="Heading5"/>
      </w:pPr>
      <w:r>
        <w:t xml:space="preserve">Anirban Chatterjee (AC)</w:t>
      </w:r>
      <w:r>
        <w:t xml:space="preserve"> </w:t>
      </w:r>
    </w:p>
    <w:p>
      <w:pPr>
        <w:pStyle w:val="FirstParagraph"/>
      </w:pPr>
      <w:r>
        <w:t xml:space="preserve">Department of Orthopaedic Sciences, Medica Superspecialty Hospital, Kolkata, India.</w:t>
      </w:r>
    </w:p>
    <w:bookmarkEnd w:id="78"/>
    <w:bookmarkStart w:id="79" w:name="marie-hasselberg-mh"/>
    <w:p>
      <w:pPr>
        <w:pStyle w:val="Heading5"/>
      </w:pPr>
      <w:r>
        <w:t xml:space="preserve">Marie Hasselberg (MH)</w:t>
      </w:r>
      <w:r>
        <w:t xml:space="preserve"> </w:t>
      </w:r>
    </w:p>
    <w:p>
      <w:pPr>
        <w:pStyle w:val="FirstParagraph"/>
      </w:pPr>
      <w:r>
        <w:t xml:space="preserve">Department of Global Public Health, Karolinska Institutet, Stockholm, Sweden.</w:t>
      </w:r>
    </w:p>
    <w:bookmarkEnd w:id="79"/>
    <w:bookmarkStart w:id="80" w:name="debabrata-kundu-dk"/>
    <w:p>
      <w:pPr>
        <w:pStyle w:val="Heading5"/>
      </w:pPr>
      <w:r>
        <w:t xml:space="preserve">Debabrata Kundu (DK)</w:t>
      </w:r>
      <w:r>
        <w:t xml:space="preserve"> </w:t>
      </w:r>
    </w:p>
    <w:p>
      <w:pPr>
        <w:pStyle w:val="FirstParagraph"/>
      </w:pPr>
      <w:r>
        <w:t xml:space="preserve">Department of Surgery, Medical College Kolkata, Kolkata, India.</w:t>
      </w:r>
    </w:p>
    <w:bookmarkEnd w:id="80"/>
    <w:bookmarkStart w:id="81" w:name="anurag-mishra-am"/>
    <w:p>
      <w:pPr>
        <w:pStyle w:val="Heading5"/>
      </w:pPr>
      <w:r>
        <w:t xml:space="preserve">Anurag Mishra (AM)</w:t>
      </w:r>
      <w:r>
        <w:t xml:space="preserve"> </w:t>
      </w:r>
    </w:p>
    <w:p>
      <w:pPr>
        <w:pStyle w:val="FirstParagraph"/>
      </w:pPr>
      <w:r>
        <w:t xml:space="preserve">Department of Surgery, Maulana Azad Medical College, New Delhi, India.</w:t>
      </w:r>
    </w:p>
    <w:bookmarkEnd w:id="81"/>
    <w:bookmarkStart w:id="82" w:name="arun-prasad-ap"/>
    <w:p>
      <w:pPr>
        <w:pStyle w:val="Heading5"/>
      </w:pPr>
      <w:r>
        <w:t xml:space="preserve">Arun Prasad (AP)</w:t>
      </w:r>
      <w:r>
        <w:t xml:space="preserve"> </w:t>
      </w:r>
    </w:p>
    <w:p>
      <w:pPr>
        <w:pStyle w:val="FirstParagraph"/>
      </w:pPr>
      <w:r>
        <w:t xml:space="preserve">Department of Surgery, Indraprastha Apollo Hospitals, New Delhi</w:t>
      </w:r>
    </w:p>
    <w:bookmarkEnd w:id="82"/>
    <w:bookmarkStart w:id="83" w:name="harris-solomon-hs"/>
    <w:p>
      <w:pPr>
        <w:pStyle w:val="Heading5"/>
      </w:pPr>
      <w:r>
        <w:t xml:space="preserve">Harris Solomon (HS)</w:t>
      </w:r>
      <w:r>
        <w:t xml:space="preserve"> </w:t>
      </w:r>
    </w:p>
    <w:p>
      <w:pPr>
        <w:pStyle w:val="FirstParagraph"/>
      </w:pPr>
      <w:r>
        <w:t xml:space="preserve">Department of Cultural Anthropology and the Duke Global Health Institute, Duke University, Durham, USA.</w:t>
      </w:r>
    </w:p>
    <w:bookmarkEnd w:id="83"/>
    <w:bookmarkStart w:id="84" w:name="megha-tandon-mt"/>
    <w:p>
      <w:pPr>
        <w:pStyle w:val="Heading5"/>
      </w:pPr>
      <w:r>
        <w:t xml:space="preserve">Megha Tandon (MT)</w:t>
      </w:r>
      <w:r>
        <w:t xml:space="preserve"> </w:t>
      </w:r>
    </w:p>
    <w:p>
      <w:pPr>
        <w:pStyle w:val="FirstParagraph"/>
      </w:pPr>
      <w:r>
        <w:t xml:space="preserve">Department of Surgery, Vardhman Mahavir Medical College and Safdarjung Hospital, New Delhi, India.</w:t>
      </w:r>
    </w:p>
    <w:bookmarkEnd w:id="84"/>
    <w:bookmarkEnd w:id="85"/>
    <w:bookmarkStart w:id="86" w:name="keywords"/>
    <w:p>
      <w:pPr>
        <w:pStyle w:val="Heading2"/>
      </w:pPr>
      <w:r>
        <w:t xml:space="preserve">Keywords</w:t>
      </w:r>
    </w:p>
    <w:p>
      <w:pPr>
        <w:pStyle w:val="FirstParagraph"/>
      </w:pPr>
      <w:r>
        <w:t xml:space="preserve">Trauma management, Accident and emergency medicine, Education and training.</w:t>
      </w:r>
    </w:p>
    <w:bookmarkEnd w:id="86"/>
    <w:bookmarkStart w:id="87" w:name="word-count"/>
    <w:p>
      <w:pPr>
        <w:pStyle w:val="Heading2"/>
      </w:pPr>
      <w:r>
        <w:t xml:space="preserve">Word Count</w:t>
      </w:r>
    </w:p>
    <w:p>
      <w:pPr>
        <w:pStyle w:val="FirstParagraph"/>
      </w:pPr>
      <w:r>
        <w:t xml:space="preserve">2836</w:t>
      </w:r>
    </w:p>
    <w:bookmarkEnd w:id="87"/>
    <w:bookmarkStart w:id="88"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88"/>
    <w:bookmarkStart w:id="89" w:name="abstract"/>
    <w:p>
      <w:pPr>
        <w:pStyle w:val="Heading1"/>
      </w:pPr>
      <w:r>
        <w:t xml:space="preserve">Abstract</w:t>
      </w:r>
    </w:p>
    <w:p>
      <w:pPr>
        <w:pStyle w:val="FirstParagraph"/>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p>
    <w:p>
      <w:pPr>
        <w:pStyle w:val="TextBody"/>
      </w:pPr>
      <w:r>
        <w:rPr>
          <w:bCs/>
          <w:b/>
        </w:rPr>
        <w:t xml:space="preserve">Design</w:t>
      </w:r>
      <w:r>
        <w:t xml:space="preserve"> </w:t>
      </w:r>
      <w:r>
        <w:t xml:space="preserve">A pilot pragmatic three-armed parallel, cluster randomised, controlled trial between April 2022 and February 2023. Patient follow up was 30 days.</w:t>
      </w:r>
    </w:p>
    <w:p>
      <w:pPr>
        <w:pStyle w:val="TextBody"/>
      </w:pPr>
      <w:r>
        <w:rPr>
          <w:bCs/>
          <w:b/>
        </w:rPr>
        <w:t xml:space="preserve">Setting</w:t>
      </w:r>
      <w:r>
        <w:t xml:space="preserve"> </w:t>
      </w:r>
      <w:r>
        <w:t xml:space="preserve">Tertiary care hospitals across metropolitan areas in India.</w:t>
      </w:r>
    </w:p>
    <w:p>
      <w:pPr>
        <w:pStyle w:val="TextBody"/>
      </w:pPr>
      <w:r>
        <w:rPr>
          <w:bCs/>
          <w:b/>
        </w:rPr>
        <w:t xml:space="preserve">Participants</w:t>
      </w:r>
      <w:r>
        <w:t xml:space="preserve"> </w:t>
      </w:r>
      <w:r>
        <w:t xml:space="preserve">Adult trauma patients and residents managing these patients.</w:t>
      </w:r>
    </w:p>
    <w:p>
      <w:pPr>
        <w:pStyle w:val="TextBody"/>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TextBody"/>
      </w:pPr>
      <w:r>
        <w:rPr>
          <w:bCs/>
          <w:b/>
        </w:rPr>
        <w:t xml:space="preserve">Main Outcomes and Measures</w:t>
      </w:r>
      <w:r>
        <w:t xml:space="preserve"> </w:t>
      </w:r>
      <w:r>
        <w:t xml:space="preserve">The outcomes were consent rate, lost to follow up rate, pass rate, missing data rates, differences in distribution between observed and data extracted from medical records as well as all cause and in-hospital mortality at 30 days from the time of arrival to the emergency department.</w:t>
      </w:r>
    </w:p>
    <w:p>
      <w:pPr>
        <w:pStyle w:val="TextBody"/>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 xml:space="preserve">®</w:t>
      </w:r>
      <w:r>
        <w:t xml:space="preserve"> </w:t>
      </w:r>
      <w:r>
        <w:t xml:space="preserve">arm, and three (5%) patients in the PTC arm.</w:t>
      </w:r>
    </w:p>
    <w:p>
      <w:pPr>
        <w:pStyle w:val="TextBody"/>
      </w:pPr>
      <w:r>
        <w:rPr>
          <w:bCs/>
          <w:b/>
        </w:rPr>
        <w:t xml:space="preserve">Conclusions</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will be feasible, especially if such a trial would use data and outcomes available in medical records.</w:t>
      </w:r>
    </w:p>
    <w:p>
      <w:pPr>
        <w:pStyle w:val="TextBody"/>
      </w:pPr>
      <w:r>
        <w:rPr>
          <w:bCs/>
          <w:b/>
        </w:rPr>
        <w:t xml:space="preserve">Trial Registration</w:t>
      </w:r>
      <w:r>
        <w:t xml:space="preserve"> </w:t>
      </w:r>
      <w:r>
        <w:t xml:space="preserve">ClinicalTrials.gov (reg. no NCT05417243)</w:t>
      </w:r>
    </w:p>
    <w:bookmarkEnd w:id="89"/>
    <w:bookmarkStart w:id="90" w:name="strengths-and-limitations-of-this-study"/>
    <w:p>
      <w:pPr>
        <w:pStyle w:val="Heading1"/>
      </w:pPr>
      <w:r>
        <w:t xml:space="preserve">Strengths and limitations of this study</w:t>
      </w:r>
    </w:p>
    <w:p>
      <w:pPr>
        <w:numPr>
          <w:ilvl w:val="0"/>
          <w:numId w:val="1001"/>
        </w:numPr>
        <w:pStyle w:val="Compact"/>
      </w:pPr>
      <w:r>
        <w:t xml:space="preserve">Prospective data collection with direct observations by dedicated research officers.</w:t>
      </w:r>
    </w:p>
    <w:p>
      <w:pPr>
        <w:numPr>
          <w:ilvl w:val="0"/>
          <w:numId w:val="1001"/>
        </w:numPr>
        <w:pStyle w:val="Compact"/>
      </w:pPr>
      <w:r>
        <w:t xml:space="preserve">Lack of a priori defined success criteria and thresholds for the feasibility outcomes.</w:t>
      </w:r>
    </w:p>
    <w:p>
      <w:pPr>
        <w:numPr>
          <w:ilvl w:val="0"/>
          <w:numId w:val="1001"/>
        </w:numPr>
        <w:pStyle w:val="Compact"/>
      </w:pPr>
      <w:r>
        <w:t xml:space="preserve">Use of sealed envelopes potentially compromised allocation concealment.</w:t>
      </w:r>
    </w:p>
    <w:p>
      <w:pPr>
        <w:numPr>
          <w:ilvl w:val="0"/>
          <w:numId w:val="1001"/>
        </w:numPr>
        <w:pStyle w:val="Compact"/>
      </w:pPr>
      <w:r>
        <w:t xml:space="preserve">Participating centers’ heterogeneity may affect the study estimates and bias the results.</w:t>
      </w:r>
    </w:p>
    <w:p>
      <w:r>
        <w:br w:type="page"/>
      </w:r>
    </w:p>
    <w:bookmarkEnd w:id="90"/>
    <w:bookmarkStart w:id="91"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in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two widely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7–21</w:t>
      </w:r>
      <w:r>
        <w:t xml:space="preserve">, but there is no high quality evidence from controlled trials to support this</w:t>
      </w:r>
      <w:r>
        <w:rPr>
          <w:vertAlign w:val="superscript"/>
        </w:rPr>
        <w:t xml:space="preserve">2–4,22–24</w:t>
      </w:r>
      <w:r>
        <w:t xml:space="preserve">.</w:t>
      </w:r>
    </w:p>
    <w:p>
      <w:pPr>
        <w:pStyle w:val="TextBody"/>
      </w:pPr>
      <w:r>
        <w:t xml:space="preserve">Several studies, including at least two randomised studies</w:t>
      </w:r>
      <w:r>
        <w:rPr>
          <w:vertAlign w:val="superscript"/>
        </w:rPr>
        <w:t xml:space="preserve">25,26</w:t>
      </w:r>
      <w:r>
        <w:t xml:space="preserve">, show that ATLS</w:t>
      </w:r>
      <w:r>
        <w:rPr>
          <w:vertAlign w:val="superscript"/>
        </w:rPr>
        <w:t xml:space="preserve">®</w:t>
      </w:r>
      <w:r>
        <w:t xml:space="preserve"> </w:t>
      </w:r>
      <w:r>
        <w:t xml:space="preserve">is associated with improved knowledge and skills among providers</w:t>
      </w:r>
      <w:r>
        <w:rPr>
          <w:vertAlign w:val="superscript"/>
        </w:rPr>
        <w:t xml:space="preserve">2</w:t>
      </w:r>
      <w:r>
        <w:t xml:space="preserve">. Observational evidence suggests that PTC also leads to improved provider skills</w:t>
      </w:r>
      <w:r>
        <w:rPr>
          <w:vertAlign w:val="superscript"/>
        </w:rPr>
        <w:t xml:space="preserve">4</w:t>
      </w:r>
      <w:r>
        <w:t xml:space="preserve">. The missing link is then whether these improved knowledge and skills translate into measurably improved patient outcomes.</w:t>
      </w:r>
    </w:p>
    <w:p>
      <w:pPr>
        <w:pStyle w:val="TextBody"/>
      </w:pPr>
      <w:r>
        <w:t xml:space="preserve">Systematic reviews call for controlled trials in settings where these programmes are not routinely implemented</w:t>
      </w:r>
      <w:r>
        <w:rPr>
          <w:vertAlign w:val="superscript"/>
        </w:rPr>
        <w:t xml:space="preserve">2–4</w:t>
      </w:r>
      <w:r>
        <w:t xml:space="preserve">, because conducting such effectiveness trials in settings where they are part of the standard of care is not possible. Many settings without routinely implemented trauma life support training are in low- and middle income countries, where trial logistics can be more challenging.</w:t>
      </w:r>
    </w:p>
    <w:p>
      <w:pPr>
        <w:pStyle w:val="TextBody"/>
      </w:pPr>
      <w:r>
        <w:t xml:space="preserve">We therefore conducted a pilot study to assess the feasibility of a cluster randomised controlled trial comparing the effect of ATLS</w:t>
      </w:r>
      <w:r>
        <w:rPr>
          <w:vertAlign w:val="superscript"/>
        </w:rPr>
        <w:t xml:space="preserve">®</w:t>
      </w:r>
      <w:r>
        <w:t xml:space="preserve"> </w:t>
      </w:r>
      <w:r>
        <w:t xml:space="preserve">and PTC with standard care on outcomes in adult trauma patients.</w:t>
      </w:r>
    </w:p>
    <w:bookmarkEnd w:id="91"/>
    <w:bookmarkStart w:id="114" w:name="methods"/>
    <w:p>
      <w:pPr>
        <w:pStyle w:val="Heading1"/>
      </w:pPr>
      <w:r>
        <w:t xml:space="preserve">Methods</w:t>
      </w:r>
    </w:p>
    <w:bookmarkStart w:id="92" w:name="protocol-deviations"/>
    <w:p>
      <w:pPr>
        <w:pStyle w:val="Heading2"/>
      </w:pPr>
      <w:r>
        <w:t xml:space="preserve">Protocol Deviations</w:t>
      </w:r>
    </w:p>
    <w:p>
      <w:pPr>
        <w:pStyle w:val="FirstParagraph"/>
      </w:pPr>
      <w:r>
        <w:t xml:space="preserve">Protocol deviations are mentioned where relevant in this manuscript, but a list of all deviations is also included as Supplementary Material S1 for completeness.</w:t>
      </w:r>
    </w:p>
    <w:bookmarkEnd w:id="92"/>
    <w:bookmarkStart w:id="93"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27</w:t>
      </w:r>
      <w:r>
        <w:t xml:space="preserve">. There were a standard care arm and two intervention arms, ATLS</w:t>
      </w:r>
      <w:r>
        <w:rPr>
          <w:vertAlign w:val="superscript"/>
        </w:rPr>
        <w:t xml:space="preserve">®</w:t>
      </w:r>
      <w:r>
        <w:t xml:space="preserve"> </w:t>
      </w:r>
      <w:r>
        <w:t xml:space="preserve">and PTC training. We planned to collect data for four months in all three arms, first during a one month observation phase and then during a three month intervention phase (or continued observation in the standard care arm). The actual data collection period varied across clusters depending on the timing of the training, to ensure a minimum of three months of data collection after the training in the intervention clusters. We included the one month lead to be able to evaluate the feasibility of comparing patient outcomes both as absolute differences between the intervention phases, and as differences in change from baseline. In the published protocol, we also aimed to estimate probable effect sizes and other measures needed for the sample size calculations of a full-scale trial</w:t>
      </w:r>
      <w:r>
        <w:rPr>
          <w:vertAlign w:val="superscript"/>
        </w:rPr>
        <w:t xml:space="preserve">27</w:t>
      </w:r>
      <w:r>
        <w:t xml:space="preserve">, but we revised this aim in the light of current guidance on the conduct and reporting of pilot trials</w:t>
      </w:r>
      <w:r>
        <w:rPr>
          <w:vertAlign w:val="superscript"/>
        </w:rPr>
        <w:t xml:space="preserve">28</w:t>
      </w:r>
      <w:r>
        <w:t xml:space="preserve">.</w:t>
      </w:r>
    </w:p>
    <w:bookmarkEnd w:id="93"/>
    <w:bookmarkStart w:id="94" w:name="study-setting"/>
    <w:p>
      <w:pPr>
        <w:pStyle w:val="Heading2"/>
      </w:pPr>
      <w:r>
        <w:t xml:space="preserve">Study Setting</w:t>
      </w:r>
    </w:p>
    <w:p>
      <w:pPr>
        <w:pStyle w:val="FirstParagraph"/>
      </w:pPr>
      <w:r>
        <w:t xml:space="preserve">We conducted this pilot study in seven tertiary hospitals across metropolitan areas in India, where neither ATLS</w:t>
      </w:r>
      <w:r>
        <w:rPr>
          <w:vertAlign w:val="superscript"/>
        </w:rPr>
        <w:t xml:space="preserve">®</w:t>
      </w:r>
      <w:r>
        <w:t xml:space="preserve">, PTC, nor any other established trauma life support training program is routinely taught. Details about each cluster is included as Supplementary Table S1. Originally, we intented to include six hospitals as clusters, but decided to include a seventh when they expressed interest and as we had the budget to accommodate this. These seven hospitals were a convenience sample of hospitals in India that fulfilled the inclusion criteria, and with existing connections to the research team.</w:t>
      </w:r>
    </w:p>
    <w:bookmarkEnd w:id="94"/>
    <w:bookmarkStart w:id="99" w:name="X7fa9f104419b836702429a89b65c3255ae3f510"/>
    <w:p>
      <w:pPr>
        <w:pStyle w:val="Heading2"/>
      </w:pPr>
      <w:r>
        <w:t xml:space="preserve">Eligibility Criteria for Cluster and Participants</w:t>
      </w:r>
    </w:p>
    <w:bookmarkStart w:id="95" w:name="hospitals"/>
    <w:p>
      <w:pPr>
        <w:pStyle w:val="Heading3"/>
      </w:pPr>
      <w:r>
        <w:t xml:space="preserve">Hospitals</w:t>
      </w:r>
    </w:p>
    <w:p>
      <w:pPr>
        <w:pStyle w:val="FirstParagraph"/>
      </w:pPr>
      <w:r>
        <w:t xml:space="preserve">We included tertiary care hospitals in metropolitan areas in India that admitted more than 400 adult patients with trauma each year, and that had operation theatres, X-ray, CT, and ultrasound facilities, and blood bank available around the clock.</w:t>
      </w:r>
    </w:p>
    <w:bookmarkEnd w:id="95"/>
    <w:bookmarkStart w:id="96" w:name="clusters"/>
    <w:p>
      <w:pPr>
        <w:pStyle w:val="Heading3"/>
      </w:pPr>
      <w:r>
        <w:t xml:space="preserve">Clusters</w:t>
      </w:r>
    </w:p>
    <w:p>
      <w:pPr>
        <w:pStyle w:val="FirstParagraph"/>
      </w:pPr>
      <w:r>
        <w:t xml:space="preserve">We defined a cluster as one or more units of physicians providing trauma care in the emergency department of Indian tertiary care hospitals. To be eligible, units could have no more than 25% of their physicians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96"/>
    <w:bookmarkStart w:id="97" w:name="residents"/>
    <w:p>
      <w:pPr>
        <w:pStyle w:val="Heading3"/>
      </w:pPr>
      <w:r>
        <w:t xml:space="preserve">Residents</w:t>
      </w:r>
    </w:p>
    <w:p>
      <w:pPr>
        <w:pStyle w:val="FirstParagraph"/>
      </w:pPr>
      <w:r>
        <w:t xml:space="preserve">We trained 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 In the published protocol, we stated that only surgical residents would be trained. However, in some of the participating hospitals, emergency medicine residents performed the initial resuscitation and management of trauma patients, and we therefore decided to train them instead.</w:t>
      </w:r>
    </w:p>
    <w:bookmarkEnd w:id="97"/>
    <w:bookmarkStart w:id="98" w:name="patients"/>
    <w:p>
      <w:pPr>
        <w:pStyle w:val="Heading3"/>
      </w:pPr>
      <w:r>
        <w:t xml:space="preserve">Patients</w:t>
      </w:r>
    </w:p>
    <w:p>
      <w:pPr>
        <w:pStyle w:val="FirstParagraph"/>
      </w:pPr>
      <w:r>
        <w:t xml:space="preserve">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bookmarkEnd w:id="98"/>
    <w:bookmarkEnd w:id="99"/>
    <w:bookmarkStart w:id="100"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include both faculty members and residents, who are assigned a specific day of the week when they are posted in the emergency department. In the emergency department, trauma patients are initially assessed by either surgical or emergency medicine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 We did not collect data on how standard care varied between the participating hospitals.</w:t>
      </w:r>
    </w:p>
    <w:bookmarkEnd w:id="100"/>
    <w:bookmarkStart w:id="101"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at the beginning of the three month intervention phase.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and the PTC training was conducted in New Delhi. Both trainings were conducted according to their respective standard curriculum</w:t>
      </w:r>
      <w:r>
        <w:rPr>
          <w:vertAlign w:val="superscript"/>
        </w:rPr>
        <w:t xml:space="preserve">5,6</w:t>
      </w:r>
      <w:r>
        <w:t xml:space="preserve">, and we did not modify or adapt the delivery or content of these programmes during this pilot study.</w:t>
      </w:r>
    </w:p>
    <w:p>
      <w:pPr>
        <w:pStyle w:val="TextBody"/>
      </w:pPr>
      <w:r>
        <w:t xml:space="preserve">The provider courses of both programmes are two days, and they teach how to assess, resuscitate and stabilize trauma patients and how to adapt to needs of different patient populations. The teaching is based on case discussions and skill stations. There are some important differences between the two programmes. The ATLS course include more on the inter-hospital transfer of patients and includes a greater emphasis on the trauma team</w:t>
      </w:r>
      <w:r>
        <w:rPr>
          <w:vertAlign w:val="superscript"/>
        </w:rPr>
        <w:t xml:space="preserve">5</w:t>
      </w:r>
      <w:r>
        <w:t xml:space="preserve">. The PTC course on the other hand focuses on trauma care in the low resource setting</w:t>
      </w:r>
      <w:r>
        <w:rPr>
          <w:vertAlign w:val="superscript"/>
        </w:rPr>
        <w:t xml:space="preserve">6</w:t>
      </w:r>
      <w:r>
        <w:t xml:space="preserve">. The ATLS</w:t>
      </w:r>
      <w:r>
        <w:rPr>
          <w:vertAlign w:val="superscript"/>
        </w:rPr>
        <w:t xml:space="preserve">®</w:t>
      </w:r>
      <w:r>
        <w:t xml:space="preserve"> </w:t>
      </w:r>
      <w:r>
        <w:t xml:space="preserve">programme is run by the American College of Surgeons and participants pay a fee to take a course, whereas the PTC programme is run by the UK Charity PTC Foundation and is free of charge.</w:t>
      </w:r>
    </w:p>
    <w:bookmarkEnd w:id="101"/>
    <w:bookmarkStart w:id="102" w:name="feasibility-outcomes"/>
    <w:p>
      <w:pPr>
        <w:pStyle w:val="Heading2"/>
      </w:pPr>
      <w:r>
        <w:t xml:space="preserve">Feasibility outcomes</w:t>
      </w:r>
    </w:p>
    <w:p>
      <w:pPr>
        <w:pStyle w:val="FirstParagraph"/>
      </w:pPr>
      <w:r>
        <w:t xml:space="preserve">Our feasibility outcomes were:</w:t>
      </w:r>
    </w:p>
    <w:p>
      <w:pPr>
        <w:numPr>
          <w:ilvl w:val="0"/>
          <w:numId w:val="1002"/>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2"/>
        </w:numPr>
        <w:pStyle w:val="Compact"/>
      </w:pPr>
      <w:r>
        <w:t xml:space="preserve">Lost to follow up rate. This applied only to patients and was equal to the percentage of patients who did not complete 30 day follow up, out of all included patients.</w:t>
      </w:r>
    </w:p>
    <w:p>
      <w:pPr>
        <w:numPr>
          <w:ilvl w:val="0"/>
          <w:numId w:val="1002"/>
        </w:numPr>
        <w:pStyle w:val="Compact"/>
      </w:pPr>
      <w:r>
        <w:t xml:space="preserve">Missing data rate. This applied to each outcome and variable and was equal to the percentage of missing values.</w:t>
      </w:r>
    </w:p>
    <w:p>
      <w:pPr>
        <w:numPr>
          <w:ilvl w:val="0"/>
          <w:numId w:val="1002"/>
        </w:numPr>
        <w:pStyle w:val="Compact"/>
      </w:pPr>
      <w:r>
        <w:t xml:space="preserve">Differences in distributions between directly observed data and data extracted from medical records. Distribution refers to summary statistics and directly observed data refers to data collected by project officers while observing the delivery of care. This outcome applied to all variables that could be reasonably expected to be present in the medical records, but we decided to only extract this data from a convenience sample of patients to reduce the workload of the project officers collecting data.</w:t>
      </w:r>
    </w:p>
    <w:p>
      <w:pPr>
        <w:numPr>
          <w:ilvl w:val="0"/>
          <w:numId w:val="1002"/>
        </w:numPr>
        <w:pStyle w:val="Compact"/>
      </w:pPr>
      <w:r>
        <w:t xml:space="preserve">Pass rate. This applied only to residents in the intervention arms and was equal the percentage of residents who passed the training programme, out of the total number of trained residents.</w:t>
      </w:r>
    </w:p>
    <w:p>
      <w:pPr>
        <w:pStyle w:val="FirstParagraph"/>
      </w:pPr>
      <w:r>
        <w:t xml:space="preserve">We did not prespecify criteria to judge whether to continue with the full scale trial.</w:t>
      </w:r>
    </w:p>
    <w:bookmarkEnd w:id="102"/>
    <w:bookmarkStart w:id="103" w:name="sample-size"/>
    <w:p>
      <w:pPr>
        <w:pStyle w:val="Heading2"/>
      </w:pPr>
      <w:r>
        <w:t xml:space="preserve">Sample size</w:t>
      </w:r>
    </w:p>
    <w:p>
      <w:pPr>
        <w:pStyle w:val="FirstParagraph"/>
      </w:pPr>
      <w:r>
        <w:t xml:space="preserve">We wanted to include at least two clusters per arm to avoid drawing conclusions based on single centers, and we wanted to train at least two units per intervention cluster to be able to evaluate the logistics of sending residents for training. We did not conduct a formal power calculation for this pilot study, as the purpose was to assess the feasibility of the trial logistics and research methods. We anticipated that the numbers of patients included per cluster were anticipated would vary between clusters depending on the volume of patients at each hospital.</w:t>
      </w:r>
    </w:p>
    <w:bookmarkEnd w:id="103"/>
    <w:bookmarkStart w:id="106" w:name="participant-timeline-and-inclusion"/>
    <w:p>
      <w:pPr>
        <w:pStyle w:val="Heading2"/>
      </w:pPr>
      <w:r>
        <w:t xml:space="preserve">Participant Timeline and Inclusion</w:t>
      </w:r>
    </w:p>
    <w:bookmarkStart w:id="104"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Patients who did not regain consciousness were included based on their representative’s consent. We followed up patients at 24 hours after arrival at the emergency department, and at 30 days after arrival at the emergency department. The follow up period for each patient was therefore one month.</w:t>
      </w:r>
    </w:p>
    <w:bookmarkEnd w:id="104"/>
    <w:bookmarkStart w:id="105"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protocol stated that residents would be approached for consent before the hospitals were randomised, but this proved not to be feasible, and we therefore asked residents for consent after the hospitals were randomised but before training. The training was conducted approximately one month after the study started in that hospital. Initially, we planned to use simple random sampling to select the units to be trained in each intervention hospital, but for pragmatic reasons we decided to leave the decision on which units to train to the site principal investigator. The number of residents trained in each intervention cluster varied because the size of the units varied.</w:t>
      </w:r>
    </w:p>
    <w:bookmarkEnd w:id="105"/>
    <w:bookmarkEnd w:id="106"/>
    <w:bookmarkStart w:id="107" w:name="allocation-and-blinding"/>
    <w:p>
      <w:pPr>
        <w:pStyle w:val="Heading2"/>
      </w:pPr>
      <w:r>
        <w:t xml:space="preserve">Allocation and blinding</w:t>
      </w:r>
    </w:p>
    <w:p>
      <w:pPr>
        <w:pStyle w:val="FirstParagraph"/>
      </w:pPr>
      <w:r>
        <w:t xml:space="preserve">We used simple randomisation implemented using sealed envelopes to allocate sites to trial arms. It was not possible to blind investigators, residents or patients to the intervention. We did not blind the data analysts.</w:t>
      </w:r>
    </w:p>
    <w:bookmarkEnd w:id="107"/>
    <w:bookmarkStart w:id="108" w:name="data-collection"/>
    <w:p>
      <w:pPr>
        <w:pStyle w:val="Heading2"/>
      </w:pPr>
      <w:r>
        <w:t xml:space="preserve">Data Collection</w:t>
      </w:r>
    </w:p>
    <w:p>
      <w:pPr>
        <w:pStyle w:val="FirstParagraph"/>
      </w:pPr>
      <w:r>
        <w:t xml:space="preserve">The planned data collection period was four months, but the actual data collection period varied across clusters depending on the timing of the training, to ensure a minimum of three months of data collection after the training in the intervention clusters.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bookmarkEnd w:id="108"/>
    <w:bookmarkStart w:id="109" w:name="variables"/>
    <w:p>
      <w:pPr>
        <w:pStyle w:val="Heading2"/>
      </w:pPr>
      <w:r>
        <w:t xml:space="preserve">Variables</w:t>
      </w:r>
    </w:p>
    <w:p>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(ISS) using the R package</w:t>
      </w:r>
      <w:r>
        <w:t xml:space="preserve"> </w:t>
      </w:r>
      <w:r>
        <w:rPr>
          <w:rStyle w:val="VerbatimChar"/>
        </w:rPr>
        <w:t xml:space="preserve">icdpicr</w:t>
      </w:r>
      <w:r>
        <w:rPr>
          <w:vertAlign w:val="superscript"/>
        </w:rPr>
        <w:t xml:space="preserve">29</w:t>
      </w:r>
      <w:r>
        <w:t xml:space="preserve">. The ISS is a widely used measure of injury severity and ranges from 0 to 75, with a cutoff of 16 often being used to define major trauma, and 75 representing unsurvivable trauma. We also collected data on potential outcomes for the full-scale trial, including mortality within 30-days and in-hospital, complications and health related quality of life (using the EQ-5D-3L). We did not calculate an EQ-5D-3L index score, because there is currently no Indian value set available for the EQ-5D-3L</w:t>
      </w:r>
      <w:r>
        <w:rPr>
          <w:vertAlign w:val="superscript"/>
        </w:rPr>
        <w:t xml:space="preserve">30</w:t>
      </w:r>
      <w:r>
        <w:t xml:space="preserve">. We also attempted to collect data on cause of death. A list of variables is available in Supplementary Table S2.</w:t>
      </w:r>
    </w:p>
    <w:bookmarkEnd w:id="109"/>
    <w:bookmarkStart w:id="110"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 xml:space="preserve">31</w:t>
      </w:r>
      <w:r>
        <w:t xml:space="preserve">. We initially planned to distribute periodic surveys to residents and follow them up after 30 days after training, but we changed this to interviews after the end of the study period as we thought this would provide richer data (not published).</w:t>
      </w:r>
    </w:p>
    <w:bookmarkEnd w:id="110"/>
    <w:bookmarkStart w:id="111"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111"/>
    <w:bookmarkStart w:id="112" w:name="statistical-methods"/>
    <w:p>
      <w:pPr>
        <w:pStyle w:val="Heading2"/>
      </w:pPr>
      <w:r>
        <w:t xml:space="preserve">Statistical Methods</w:t>
      </w:r>
    </w:p>
    <w:p>
      <w:pPr>
        <w:pStyle w:val="FirstParagraph"/>
      </w:pPr>
      <w:r>
        <w:t xml:space="preserve">We used the R version 4.5.0 (2025-04-11) Statistical Software for all analyses</w:t>
      </w:r>
      <w:r>
        <w:rPr>
          <w:vertAlign w:val="superscript"/>
        </w:rPr>
        <w:t xml:space="preserve">32</w:t>
      </w:r>
      <w:r>
        <w:t xml:space="preserve">. We analysed all data, including the feasibility outcomes, using descriptive statistics and did not perform any formal hypothesis tests</w:t>
      </w:r>
      <w:r>
        <w:rPr>
          <w:vertAlign w:val="superscript"/>
        </w:rPr>
        <w:t xml:space="preserve">33</w:t>
      </w:r>
      <w:r>
        <w:t xml:space="preserve">. Initially, we planned to analyse feasibility outcomes both on an overall and individual cluster levels, but the sample sizes in individual clusters were too small to generate meaningful results. Quantitative variables are summarised as median and interquartile range. Qualitative variables are presented as absolute numbers and percentages. Additional analyses performed according to the original protocol are available as additional online material</w:t>
      </w:r>
      <w:r>
        <w:rPr>
          <w:vertAlign w:val="superscript"/>
        </w:rPr>
        <w:t xml:space="preserve">34</w:t>
      </w:r>
      <w:r>
        <w:t xml:space="preserve">.</w:t>
      </w:r>
    </w:p>
    <w:bookmarkEnd w:id="112"/>
    <w:bookmarkStart w:id="113"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bookmarkEnd w:id="113"/>
    <w:bookmarkEnd w:id="114"/>
    <w:bookmarkStart w:id="124" w:name="results"/>
    <w:p>
      <w:pPr>
        <w:pStyle w:val="Heading1"/>
      </w:pPr>
      <w:r>
        <w:t xml:space="preserve">Results</w:t>
      </w:r>
    </w:p>
    <w:p>
      <w:pPr>
        <w:pStyle w:val="FirstParagraph"/>
      </w:pPr>
      <w:r>
        <w:t xml:space="preserve">We included 376 trauma patients from seven clusters between April 2022 and February 2023. The period of data collection and the number of patients included per month per cluster is shown in Figure</w:t>
      </w:r>
      <w:r>
        <w:t xml:space="preserve"> </w:t>
      </w:r>
      <w:r>
        <w:t xml:space="preserve">1</w:t>
      </w:r>
      <w:r>
        <w:t xml:space="preserve">. Due to an error in the data uploading process, data was only available for one and three months for two clusters respectively. The standard care arm included 202 patients, the ATLS</w:t>
      </w:r>
      <w:r>
        <w:rPr>
          <w:vertAlign w:val="superscript"/>
        </w:rPr>
        <w:t xml:space="preserve">®</w:t>
      </w:r>
      <w:r>
        <w:t xml:space="preserve"> </w:t>
      </w:r>
      <w:r>
        <w:t xml:space="preserve">arm included 44 patients, and the PTC arm included 130 patients. We trained a total of 22 residents, seven in ATLS</w:t>
      </w:r>
      <w:r>
        <w:rPr>
          <w:vertAlign w:val="superscript"/>
        </w:rPr>
        <w:t xml:space="preserve">®</w:t>
      </w:r>
      <w:r>
        <w:t xml:space="preserve">, and 15 in PTC.</w:t>
      </w:r>
    </w:p>
    <w:p>
      <w:pPr>
        <w:pStyle w:val="CaptionedFigure"/>
      </w:pPr>
      <w:r>
        <w:drawing>
          <wp:inline>
            <wp:extent cx="3067368" cy="4694327"/>
            <wp:effectExtent b="0" l="0" r="0" t="0"/>
            <wp:docPr descr="Figure 1: Number of patients included per cluster per month. Due to an error in the data uploading process, data was only available for one and three months for two clusters respectively." title="" id="116" name="Picture"/>
            <a:graphic>
              <a:graphicData uri="http://schemas.openxmlformats.org/drawingml/2006/picture">
                <pic:pic>
                  <pic:nvPicPr>
                    <pic:cNvPr descr="patients-per-month.png" id="117" name="Picture"/>
                    <pic:cNvPicPr>
                      <a:picLocks noChangeArrowheads="1" noChangeAspect="1"/>
                    </pic:cNvPicPr>
                  </pic:nvPicPr>
                  <pic:blipFill>
                    <a:blip r:embed="rId115"/>
                    <a:stretch>
                      <a:fillRect/>
                    </a:stretch>
                  </pic:blipFill>
                  <pic:spPr bwMode="auto">
                    <a:xfrm>
                      <a:off x="0" y="0"/>
                      <a:ext cx="3067368" cy="4694327"/>
                    </a:xfrm>
                    <a:prstGeom prst="rect">
                      <a:avLst/>
                    </a:prstGeom>
                    <a:noFill/>
                    <a:ln w="9525">
                      <a:noFill/>
                      <a:headEnd/>
                      <a:tailEnd/>
                    </a:ln>
                  </pic:spPr>
                </pic:pic>
              </a:graphicData>
            </a:graphic>
          </wp:inline>
        </w:drawing>
      </w:r>
    </w:p>
    <w:p>
      <w:pPr>
        <w:pStyle w:val="ImageCaption"/>
      </w:pPr>
      <w:bookmarkStart w:id="118" w:name="fig:patients-per-month-figure"/>
      <w:bookmarkEnd w:id="118"/>
      <w:r>
        <w:t xml:space="preserve">Figure 1: Number of patients included per cluster per month. Due to an error in the data uploading process, data was only available for one and three months for two clusters respectively.</w:t>
      </w:r>
    </w:p>
    <w:p>
      <w:pPr>
        <w:pStyle w:val="TextBody"/>
      </w:pPr>
      <w:r>
        <w:t xml:space="preserve">The study flow diagram is shown in Figure</w:t>
      </w:r>
      <w:r>
        <w:t xml:space="preserve"> </w:t>
      </w:r>
      <w:r>
        <w:t xml:space="preserve">2</w:t>
      </w:r>
      <w:r>
        <w:t xml:space="preserve"> </w:t>
      </w:r>
      <w:r>
        <w:t xml:space="preserve">and patient sample characteristics across trial arms are shown in Table</w:t>
      </w:r>
      <w:r>
        <w:t xml:space="preserve"> </w:t>
      </w:r>
      <w:r>
        <w:t xml:space="preserve">??</w:t>
      </w:r>
      <w:r>
        <w:t xml:space="preserve">. Extended patient sample characteristics are shown in Supplementary Table S2. Overall, the number of females were 86 (23%), the median (IQR) age was 33 (24, 46) years, and the median ISS (IQR) was 4 (1, 8). These prognostic factors differed between the trial arms. A total of 32 (10%) patients died within 30 days after arrival to the emergency department, and 29 (8%) patients died in hospital.</w:t>
      </w:r>
    </w:p>
    <w:p>
      <w:pPr>
        <w:pStyle w:val="TextBody"/>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for the standard care, ATLS</w:t>
      </w:r>
      <w:r>
        <w:rPr>
          <w:vertAlign w:val="superscript"/>
        </w:rPr>
        <w:t xml:space="preserve">®</w:t>
      </w:r>
      <w:r>
        <w:t xml:space="preserve"> </w:t>
      </w:r>
      <w:r>
        <w:t xml:space="preserve">and PTC arms respectively.</w:t>
      </w:r>
    </w:p>
    <w:p>
      <w:pPr>
        <w:pStyle w:val="CaptionedFigure"/>
      </w:pPr>
      <w:r>
        <w:drawing>
          <wp:inline>
            <wp:extent cx="5943600" cy="2796988"/>
            <wp:effectExtent b="0" l="0" r="0" t="0"/>
            <wp:docPr descr="Figure 2: Study flow diagram. Abbreviations: ATLS, Advanced Trauma Life Support; PTC, Primary Trauma Care." title="" id="120" name="Picture"/>
            <a:graphic>
              <a:graphicData uri="http://schemas.openxmlformats.org/drawingml/2006/picture">
                <pic:pic>
                  <pic:nvPicPr>
                    <pic:cNvPr descr="consort-flow-diagram.png" id="121" name="Picture"/>
                    <pic:cNvPicPr>
                      <a:picLocks noChangeArrowheads="1" noChangeAspect="1"/>
                    </pic:cNvPicPr>
                  </pic:nvPicPr>
                  <pic:blipFill>
                    <a:blip r:embed="rId119"/>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bookmarkStart w:id="122" w:name="fig:flow-diagram"/>
      <w:bookmarkEnd w:id="122"/>
      <w:r>
        <w:t xml:space="preserve">Figure 2: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gridSpan w:val="5"/>
          </w:tcPr>
          <w:p>
            <w:pPr>
              <w:spacing w:before="0" w:after="60"/>
              <w:keepNext/>
            </w:pPr>
            <w:r>
              <w:rPr>
                <w:rFonts w:ascii="Calibri" w:hAnsi="Calibri"/>
                <w:sz w:val="20"/>
              </w:rPr>
              <w:t xml:space="preserve">Abbreviation: ATLS = Advanced Trauma Life Support; PTC = Prehospital Trauma Care; SBP = systolic blood pressure</w:t>
            </w:r>
          </w:p>
        </w:tc>
      </w:tr>
      <w:tr>
        <w:trPr>
          <w:cantSplit/>
        </w:trPr>
        <w:tc>
          <w:tcPr>
            <w:gridSpan w:val="5"/>
          </w:tcPr>
          <w:p>
            <w:pPr>
              <w:spacing w:before="0" w:after="60"/>
              <w:keepNext/>
            </w:pPr>
            <w:r>
              <w:rPr>
                <w:rFonts w:ascii="Calibri" w:hAnsi="Calibri"/>
                <w:sz w:val="20"/>
              </w:rPr>
              <w:t xml:space="preserve">Missing data counts are only shown for variables with missing values. The absence of a count indicates complete data.</w:t>
            </w:r>
          </w:p>
        </w:tc>
      </w:tr>
    </w:tbl>
    <w:bookmarkStart w:id="123" w:name="outcomes"/>
    <w:p>
      <w:pPr>
        <w:pStyle w:val="Heading2"/>
      </w:pPr>
      <w:r>
        <w:t xml:space="preserve">Outcomes</w:t>
      </w:r>
    </w:p>
    <w:p>
      <w:pPr>
        <w:pStyle w:val="FirstParagraph"/>
      </w:pPr>
      <w:r>
        <w:t xml:space="preserve">The percentage of patients who consented to follow up was 77% and the lost to follow up rate was 14%. The missing data rate ranged from 0 to 50%, with details for selected variables shown in Table</w:t>
      </w:r>
      <w:r>
        <w:t xml:space="preserve"> </w:t>
      </w:r>
      <w:r>
        <w:t xml:space="preserve">??</w:t>
      </w:r>
      <w:r>
        <w:t xml:space="preserve"> </w:t>
      </w:r>
      <w:r>
        <w:t xml:space="preserve">and in Supplementary Table S2. The variables with the maximum amount of missing data were in the cost of treatment, also reported in Supplementary Tables S2.</w:t>
      </w:r>
    </w:p>
    <w:p>
      <w:pPr>
        <w:pStyle w:val="TextBody"/>
      </w:pPr>
      <w:r>
        <w:t xml:space="preserve">The differences in distributions between directly observed data and data extracted from medical records, for selected variables that were collected through observation or interview, are shown in Table</w:t>
      </w:r>
      <w:r>
        <w:t xml:space="preserve"> </w:t>
      </w:r>
      <w:r>
        <w:t xml:space="preserve">??</w:t>
      </w:r>
      <w:r>
        <w:t xml:space="preserve">. Overall, the data were similarly distributed, but there were considerably more missing values in the data extracted from medical records compared to the directly observed data.</w:t>
      </w:r>
    </w:p>
    <w:p>
      <w:pPr>
        <w:pStyle w:val="TextBody"/>
      </w:pPr>
      <w:r>
        <w:t xml:space="preserve">The percentage of residents who consented to training was 100% and the pass rate was 100%.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bookmarkEnd w:id="123"/>
    <w:bookmarkEnd w:id="124"/>
    <w:bookmarkStart w:id="125" w:name="discussion"/>
    <w:p>
      <w:pPr>
        <w:pStyle w:val="Heading1"/>
      </w:pPr>
      <w:r>
        <w:t xml:space="preserve">Discussion</w:t>
      </w:r>
    </w:p>
    <w:p>
      <w:pPr>
        <w:pStyle w:val="FirstParagraph"/>
      </w:pPr>
      <w:r>
        <w:t xml:space="preserve">We show that it is feasible to conduct and collect data for a cluster randomised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especially the cost of treatment (reported in Supplementary Table S2)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 To improve completeness of data extracted from the medical records, a full scale trial should limit the number of variables extracted from the medical records and the importance of having these registered should be emphasised to the participating hospitals.</w:t>
      </w:r>
    </w:p>
    <w:p>
      <w:pPr>
        <w:pStyle w:val="TextBody"/>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35,36</w:t>
      </w:r>
      <w:r>
        <w:t xml:space="preserve">. Like many other trauma trials, both CRASH-2 and REACT-2 used in-hospital mortality as their primary outcome measure, whereas we attempted to follow up patients after discharge. Our missing data rate for in-hospital mortality was only 1%, which is comparable to previous trials. Following up patients after discharge is notoriously challenging in the setting of this study, and the full scale trial might need to focus on in-hospital mortality as the primary outcome.</w:t>
      </w:r>
    </w:p>
    <w:p>
      <w:pPr>
        <w:pStyle w:val="TextBody"/>
      </w:pPr>
      <w:r>
        <w:t xml:space="preserve">During the course of this pilot study we deviated from the protocol in several ways. We have reported these deviations where appropriate in the methods section, and provide a list as Supplementary</w:t>
      </w:r>
      <w:r>
        <w:t xml:space="preserve"> </w:t>
      </w:r>
      <w:r>
        <w:t xml:space="preserve">material S1. The most important deviation was the revision of the aim of this pilot study, because we initially planned to estimate potential effect sizes and other measures to help sample size calculations for a full scale trial, in addition to the feasibility outcomes. However, current guidance advice against using pilot studies to estimate effect sizes, as the usefulness of these estimates is questionable</w:t>
      </w:r>
      <w:r>
        <w:rPr>
          <w:vertAlign w:val="superscript"/>
        </w:rPr>
        <w:t xml:space="preserve">28,37</w:t>
      </w:r>
      <w:r>
        <w:t xml:space="preserve">. We therefore decided to only report patient outcomes descriptively. Another important deviation from the protocol was the training of emergency medicine residents. We initially planned to train only surgical residents, but trauma management routines varied between participating hospitals, and we decided to adapt to local routines. The full scale study will need to accommodate this variation as part of the protocol.</w:t>
      </w:r>
    </w:p>
    <w:p>
      <w:pPr>
        <w:pStyle w:val="TextBody"/>
      </w:pPr>
      <w:r>
        <w:t xml:space="preserve">There are some important limitations of this pilot study and therefore additional lessons to be learned and factored into the design of the full-scale trial. First, the volumes of patients included at some of the participating hospitals were lower than expected. A careful assessment of patient volumes as part of the screening process will be needed for the full-scale trial. Second, data on complications and cause of death were almost universally missing. To collect data on these variables will require other methods, as these were not explicitly described in the medical records and autopsy reports are not readily available. Third, we did not collect in-depth data on the standard care at each hospital. This data should be collected as part of the screening process for the full-scale trial. Fourth, we used sealed envelopes for randomisation, which increases the risk of bias and errors. The full scale trial should use a computer-generated randomisation system. Fifth, we did not blind the data analysts, but recommend doing so in the full scale trial. Fifth, we assessed a very large number of potential outcomes, and the full scale trial should focus on the most relevant outcomes. Finally, because of a data uploading error, there was only limited data available from two clusters. At the time of data collection, network issues and other technical issues were a challenge in some of the clusters, and this can be mitigated in the full scale trial by using a more robust data collection system with local offline backups.</w:t>
      </w:r>
    </w:p>
    <w:p>
      <w:pPr>
        <w:pStyle w:val="TextBody"/>
      </w:pPr>
      <w:r>
        <w:t xml:space="preserve">Previous studies on the effect of ATLS</w:t>
      </w:r>
      <w:r>
        <w:rPr>
          <w:vertAlign w:val="superscript"/>
        </w:rPr>
        <w:t xml:space="preserve">®</w:t>
      </w:r>
      <w:r>
        <w:t xml:space="preserve"> </w:t>
      </w:r>
      <w:r>
        <w:t xml:space="preserve">or PTC training on patient outcomes are observational or quasi-experimental without a control group, with heterogeneous results</w:t>
      </w:r>
      <w:r>
        <w:rPr>
          <w:vertAlign w:val="superscript"/>
        </w:rPr>
        <w:t xml:space="preserve">8</w:t>
      </w:r>
      <w:r>
        <w:t xml:space="preserve">. Most studies have found that these programmes are associated with improved outcomes, although not all studies have found significant effects</w:t>
      </w:r>
      <w:r>
        <w:rPr>
          <w:vertAlign w:val="superscript"/>
        </w:rPr>
        <w:t xml:space="preserve">7,9,10,12,14–18,20,21</w:t>
      </w:r>
      <w:r>
        <w:t xml:space="preserve">. In contrast, some studies have found that these programmes may be associated with increased mortality</w:t>
      </w:r>
      <w:r>
        <w:rPr>
          <w:vertAlign w:val="superscript"/>
        </w:rPr>
        <w:t xml:space="preserve">13,19</w:t>
      </w:r>
      <w:r>
        <w:t xml:space="preserve">. We found fewer deaths in the intervention arms compared to the standard arm. This difference may have resulted from the randomisation process with a small number of heterogeneous clusters, highlighting the importance of taking varying cluster sizes into account when designing the full scale trial.</w:t>
      </w:r>
    </w:p>
    <w:p>
      <w:pPr>
        <w:pStyle w:val="TextBody"/>
      </w:pPr>
      <w:r>
        <w:t xml:space="preserve">A full scale trial remains ethical after this pilot study, considering that it was never powered to detect meaningful differences in clinical outcomes. In addition, educating physicians in trauma life support through programmes like ATLS</w:t>
      </w:r>
      <w:r>
        <w:rPr>
          <w:vertAlign w:val="superscript"/>
        </w:rPr>
        <w:t xml:space="preserve">®</w:t>
      </w:r>
      <w:r>
        <w:t xml:space="preserve"> </w:t>
      </w:r>
      <w:r>
        <w:t xml:space="preserve">and PTC is considered standard care in many settings, but this approach has been criticised for being costly and for propogating outdated practices</w:t>
      </w:r>
      <w:r>
        <w:rPr>
          <w:bCs/>
          <w:b/>
          <w:vertAlign w:val="superscript"/>
        </w:rPr>
        <w:t xml:space="preserve">wiles_atls_2015?</w:t>
      </w:r>
      <w:r>
        <w:t xml:space="preserve">. Several systematic reviews call for trials in settings where these programmes are not routinely implemented</w:t>
      </w:r>
      <w:r>
        <w:rPr>
          <w:vertAlign w:val="superscript"/>
        </w:rPr>
        <w:t xml:space="preserve">2–4</w:t>
      </w:r>
      <w:r>
        <w:t xml:space="preserve">, and in recognition of their wide use and high face validity, a stepped-wedge design in which all clusters receive the intervention but at randomised time points may be the best option.</w:t>
      </w:r>
    </w:p>
    <w:p>
      <w:pPr>
        <w:pStyle w:val="TextBody"/>
      </w:pPr>
      <w:r>
        <w:t xml:space="preserve">Our study represents the first published attempt to pilot a controlled trial of the effect of trauma life support training on patient outcomes, and we conclude that conducting a full-scale cluster randomised trial should be feasible after incorporating the lessons of this pilot study.</w:t>
      </w:r>
    </w:p>
    <w:bookmarkEnd w:id="125"/>
    <w:bookmarkStart w:id="126" w:name="contributorship-statement"/>
    <w:p>
      <w:pPr>
        <w:pStyle w:val="Heading1"/>
      </w:pPr>
      <w:r>
        <w:t xml:space="preserve">Contributorship statement</w:t>
      </w:r>
    </w:p>
    <w:p>
      <w:pPr>
        <w:pStyle w:val="FirstParagraph"/>
      </w:pPr>
      <w:r>
        <w:t xml:space="preserve">MGW conceived of the study, performed the analysis and drafted and revised the manuscript. AG, AM, CJ, DKV, HS, JB, KDS, LFT, LS, MH, MK, NR, PB, PP, RS, SD, and VK contributed to the design of the</w:t>
      </w:r>
      <w:r>
        <w:t xml:space="preserve"> </w:t>
      </w:r>
      <w:r>
        <w:t xml:space="preserve">study. MGV, DKV, KDS, and MK drafted the first version of the</w:t>
      </w:r>
      <w:r>
        <w:t xml:space="preserve"> </w:t>
      </w:r>
      <w:r>
        <w:t xml:space="preserve">protocol. AG, HS, and SD drafted the first version of the patient and</w:t>
      </w:r>
      <w:r>
        <w:t xml:space="preserve"> </w:t>
      </w:r>
      <w:r>
        <w:t xml:space="preserve">public involvement activities. JB and PP drafted the first versions of</w:t>
      </w:r>
      <w:r>
        <w:t xml:space="preserve"> </w:t>
      </w:r>
      <w:r>
        <w:t xml:space="preserve">the data management sections and wrote the data management plan. PB</w:t>
      </w:r>
      <w:r>
        <w:t xml:space="preserve"> </w:t>
      </w:r>
      <w:r>
        <w:t xml:space="preserve">and PP drafted the first versions of the statistical analysis</w:t>
      </w:r>
      <w:r>
        <w:t xml:space="preserve"> </w:t>
      </w:r>
      <w:r>
        <w:t xml:space="preserve">section. AG, AM, CJ, DKV, HS, JB, KDS, LFT, LS, MH, MGW, MK, NR, PB,</w:t>
      </w:r>
      <w:r>
        <w:t xml:space="preserve"> </w:t>
      </w:r>
      <w:r>
        <w:t xml:space="preserve">PP, RS, SC, SD, and VK contributed to the refinement of the</w:t>
      </w:r>
      <w:r>
        <w:t xml:space="preserve"> </w:t>
      </w:r>
      <w:r>
        <w:t xml:space="preserve">protocol. DB, JB, SC, LFT, GG, MK, TK, CJ, NR, RS, KDS, LS and VP interpreted the results and revised the manuscript. AR, AC, C, DK, GG, MK, MT, VK and VP are representatives of participating hospitals.</w:t>
      </w:r>
    </w:p>
    <w:bookmarkEnd w:id="126"/>
    <w:bookmarkStart w:id="127"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127"/>
    <w:bookmarkStart w:id="128"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128"/>
    <w:bookmarkStart w:id="129" w:name="data-sharing-statement"/>
    <w:p>
      <w:pPr>
        <w:pStyle w:val="Heading1"/>
      </w:pPr>
      <w:r>
        <w:t xml:space="preserve">Data Sharing Statement</w:t>
      </w:r>
    </w:p>
    <w:p>
      <w:pPr>
        <w:pStyle w:val="FirstParagraph"/>
      </w:pPr>
      <w:r>
        <w:t xml:space="preserve">The code for analysis is released publicly. The final anonymized dataset is available from the corresponding author on request.</w:t>
      </w:r>
    </w:p>
    <w:p>
      <w:r>
        <w:br w:type="page"/>
      </w:r>
    </w:p>
    <w:bookmarkEnd w:id="129"/>
    <w:bookmarkStart w:id="200" w:name="references"/>
    <w:p>
      <w:pPr>
        <w:pStyle w:val="Heading1"/>
      </w:pPr>
      <w:r>
        <w:t xml:space="preserve">References</w:t>
      </w:r>
    </w:p>
    <w:bookmarkStart w:id="199" w:name="refs"/>
    <w:bookmarkStart w:id="131" w:name="ref-injuries2020"/>
    <w:p>
      <w:pPr>
        <w:pStyle w:val="Bibliography"/>
      </w:pPr>
      <w:r>
        <w:t xml:space="preserve">1.</w:t>
      </w:r>
      <w:r>
        <w:t xml:space="preserve"> </w:t>
      </w:r>
      <w:r>
        <w:t xml:space="preserve">	</w:t>
      </w:r>
      <w:r>
        <w:t xml:space="preserve">GBD 2019 Diseases and Injuries Collaborators.</w:t>
      </w:r>
      <w:r>
        <w:t xml:space="preserve"> </w:t>
      </w:r>
      <w:hyperlink r:id="rId130">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31"/>
    <w:bookmarkStart w:id="133"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32">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33"/>
    <w:bookmarkStart w:id="135"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34">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35"/>
    <w:bookmarkStart w:id="137"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36">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7"/>
    <w:bookmarkStart w:id="138"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38"/>
    <w:bookmarkStart w:id="139"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39"/>
    <w:bookmarkStart w:id="141" w:name="ref-vestrup_impact_1988"/>
    <w:p>
      <w:pPr>
        <w:pStyle w:val="Bibliography"/>
      </w:pPr>
      <w:r>
        <w:t xml:space="preserve">7.</w:t>
      </w:r>
      <w:r>
        <w:t xml:space="preserve"> </w:t>
      </w:r>
      <w:r>
        <w:t xml:space="preserve">	</w:t>
      </w:r>
      <w:r>
        <w:t xml:space="preserve">Vestrup, J. A.</w:t>
      </w:r>
      <w:r>
        <w:t xml:space="preserve"> </w:t>
      </w:r>
      <w:r>
        <w:rPr>
          <w:iCs/>
          <w:i/>
        </w:rPr>
        <w:t xml:space="preserve">et al.</w:t>
      </w:r>
      <w:r>
        <w:t xml:space="preserve"> </w:t>
      </w:r>
      <w:hyperlink r:id="rId140">
        <w:r>
          <w:rPr>
            <w:rStyle w:val="InternetLink"/>
          </w:rPr>
          <w:t xml:space="preserve">Impact of advanced trauma life support training on early trauma management</w:t>
        </w:r>
      </w:hyperlink>
      <w:r>
        <w:t xml:space="preserve">.</w:t>
      </w:r>
      <w:r>
        <w:t xml:space="preserve"> </w:t>
      </w:r>
      <w:r>
        <w:rPr>
          <w:iCs/>
          <w:i/>
        </w:rPr>
        <w:t xml:space="preserve">The American Journal of Surgery</w:t>
      </w:r>
      <w:r>
        <w:t xml:space="preserve"> </w:t>
      </w:r>
      <w:r>
        <w:rPr>
          <w:bCs/>
          <w:b/>
        </w:rPr>
        <w:t xml:space="preserve">155</w:t>
      </w:r>
      <w:r>
        <w:t xml:space="preserve">, 704–707 (1988).</w:t>
      </w:r>
    </w:p>
    <w:bookmarkEnd w:id="141"/>
    <w:bookmarkStart w:id="142" w:name="ref-Ariyanayagam1992"/>
    <w:p>
      <w:pPr>
        <w:pStyle w:val="Bibliography"/>
      </w:pPr>
      <w:r>
        <w:t xml:space="preserve">8.</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42"/>
    <w:bookmarkStart w:id="144" w:name="ref-ali_trauma_1993"/>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43">
        <w:r>
          <w:rPr>
            <w:rStyle w:val="InternetLink"/>
          </w:rPr>
          <w:t xml:space="preserve">Trauma outcome improves following the advanced trauma life support program in a developing country</w:t>
        </w:r>
      </w:hyperlink>
      <w:r>
        <w:t xml:space="preserve">.</w:t>
      </w:r>
      <w:r>
        <w:t xml:space="preserve"> </w:t>
      </w:r>
      <w:r>
        <w:rPr>
          <w:iCs/>
          <w:i/>
        </w:rPr>
        <w:t xml:space="preserve">The Journal of Trauma: Injury, Infection, and Critical Care</w:t>
      </w:r>
      <w:r>
        <w:t xml:space="preserve"> </w:t>
      </w:r>
      <w:r>
        <w:rPr>
          <w:bCs/>
          <w:b/>
        </w:rPr>
        <w:t xml:space="preserve">34</w:t>
      </w:r>
      <w:r>
        <w:t xml:space="preserve">, 890–899 (1993).</w:t>
      </w:r>
    </w:p>
    <w:bookmarkEnd w:id="144"/>
    <w:bookmarkStart w:id="146" w:name="ref-van_olden_clinical_2004"/>
    <w:p>
      <w:pPr>
        <w:pStyle w:val="Bibliography"/>
      </w:pPr>
      <w:r>
        <w:t xml:space="preserve">10.</w:t>
      </w:r>
      <w:r>
        <w:t xml:space="preserve"> </w:t>
      </w:r>
      <w:r>
        <w:t xml:space="preserve">	</w:t>
      </w:r>
      <w:r>
        <w:t xml:space="preserve">Olden, G. D. J. van</w:t>
      </w:r>
      <w:r>
        <w:t xml:space="preserve"> </w:t>
      </w:r>
      <w:r>
        <w:rPr>
          <w:iCs/>
          <w:i/>
        </w:rPr>
        <w:t xml:space="preserve">et al.</w:t>
      </w:r>
      <w:r>
        <w:t xml:space="preserve"> </w:t>
      </w:r>
      <w:hyperlink r:id="rId145">
        <w:r>
          <w:rPr>
            <w:rStyle w:val="InternetLink"/>
          </w:rPr>
          <w:t xml:space="preserve">Clinical impact of advanced trauma life support</w:t>
        </w:r>
      </w:hyperlink>
      <w:r>
        <w:t xml:space="preserve">.</w:t>
      </w:r>
      <w:r>
        <w:t xml:space="preserve"> </w:t>
      </w:r>
      <w:r>
        <w:rPr>
          <w:iCs/>
          <w:i/>
        </w:rPr>
        <w:t xml:space="preserve">The American Journal of Emergency Medicine</w:t>
      </w:r>
      <w:r>
        <w:t xml:space="preserve"> </w:t>
      </w:r>
      <w:r>
        <w:rPr>
          <w:bCs/>
          <w:b/>
        </w:rPr>
        <w:t xml:space="preserve">22</w:t>
      </w:r>
      <w:r>
        <w:t xml:space="preserve">, 522–525 (2004).</w:t>
      </w:r>
    </w:p>
    <w:bookmarkEnd w:id="146"/>
    <w:bookmarkStart w:id="148" w:name="ref-VanHeng2008"/>
    <w:p>
      <w:pPr>
        <w:pStyle w:val="Bibliography"/>
      </w:pPr>
      <w:r>
        <w:t xml:space="preserve">11.</w:t>
      </w:r>
      <w:r>
        <w:t xml:space="preserve"> </w:t>
      </w:r>
      <w:r>
        <w:t xml:space="preserve">	</w:t>
      </w:r>
      <w:r>
        <w:t xml:space="preserve">Van Heng, Y.</w:t>
      </w:r>
      <w:r>
        <w:t xml:space="preserve"> </w:t>
      </w:r>
      <w:r>
        <w:rPr>
          <w:iCs/>
          <w:i/>
        </w:rPr>
        <w:t xml:space="preserve">et al.</w:t>
      </w:r>
      <w:r>
        <w:t xml:space="preserve"> </w:t>
      </w:r>
      <w:hyperlink r:id="rId147">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48"/>
    <w:bookmarkStart w:id="149" w:name="ref-Wang2010"/>
    <w:p>
      <w:pPr>
        <w:pStyle w:val="Bibliography"/>
      </w:pPr>
      <w:r>
        <w:t xml:space="preserve">12.</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49"/>
    <w:bookmarkStart w:id="151" w:name="ref-drimousis_advanced_2011"/>
    <w:p>
      <w:pPr>
        <w:pStyle w:val="Bibliography"/>
      </w:pPr>
      <w:r>
        <w:t xml:space="preserve">13.</w:t>
      </w:r>
      <w:r>
        <w:t xml:space="preserve"> </w:t>
      </w:r>
      <w:r>
        <w:t xml:space="preserve">	</w:t>
      </w:r>
      <w:r>
        <w:t xml:space="preserve">Drimousis, P. G.</w:t>
      </w:r>
      <w:r>
        <w:t xml:space="preserve"> </w:t>
      </w:r>
      <w:r>
        <w:rPr>
          <w:iCs/>
          <w:i/>
        </w:rPr>
        <w:t xml:space="preserve">et al.</w:t>
      </w:r>
      <w:r>
        <w:t xml:space="preserve"> </w:t>
      </w:r>
      <w:hyperlink r:id="rId150">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certified physicians in a non trauma system setting:</w:t>
        </w:r>
        <w:r>
          <w:rPr>
            <w:rStyle w:val="InternetLink"/>
          </w:rPr>
          <w:t xml:space="preserve"> </w:t>
        </w:r>
        <w:r>
          <w:rPr>
            <w:rStyle w:val="InternetLink"/>
          </w:rPr>
          <w:t xml:space="preserve">Is</w:t>
        </w:r>
        <w:r>
          <w:rPr>
            <w:rStyle w:val="InternetLink"/>
          </w:rPr>
          <w:t xml:space="preserve"> </w:t>
        </w:r>
        <w:r>
          <w:rPr>
            <w:rStyle w:val="InternetLink"/>
          </w:rPr>
          <w:t xml:space="preserve">it enough?</w:t>
        </w:r>
      </w:hyperlink>
      <w:r>
        <w:t xml:space="preserve"> </w:t>
      </w:r>
      <w:r>
        <w:rPr>
          <w:iCs/>
          <w:i/>
        </w:rPr>
        <w:t xml:space="preserve">Resuscitation</w:t>
      </w:r>
      <w:r>
        <w:t xml:space="preserve"> </w:t>
      </w:r>
      <w:r>
        <w:rPr>
          <w:bCs/>
          <w:b/>
        </w:rPr>
        <w:t xml:space="preserve">82</w:t>
      </w:r>
      <w:r>
        <w:t xml:space="preserve">, 180–184 (2011).</w:t>
      </w:r>
    </w:p>
    <w:bookmarkEnd w:id="151"/>
    <w:bookmarkStart w:id="153" w:name="ref-noordin_evolution_2011"/>
    <w:p>
      <w:pPr>
        <w:pStyle w:val="Bibliography"/>
      </w:pPr>
      <w:r>
        <w:t xml:space="preserve">14.</w:t>
      </w:r>
      <w:r>
        <w:t xml:space="preserve"> </w:t>
      </w:r>
      <w:r>
        <w:t xml:space="preserve">	</w:t>
      </w:r>
      <w:r>
        <w:t xml:space="preserve">Noordin, S.</w:t>
      </w:r>
      <w:r>
        <w:t xml:space="preserve"> </w:t>
      </w:r>
      <w:r>
        <w:rPr>
          <w:iCs/>
          <w:i/>
        </w:rPr>
        <w:t xml:space="preserve">et al.</w:t>
      </w:r>
      <w:r>
        <w:t xml:space="preserve"> </w:t>
      </w:r>
      <w:hyperlink r:id="rId152">
        <w:r>
          <w:rPr>
            <w:rStyle w:val="InternetLink"/>
          </w:rPr>
          <w:t xml:space="preserve">Evolution of trauma management at a tertiary care hospital:</w:t>
        </w:r>
        <w:r>
          <w:rPr>
            <w:rStyle w:val="InternetLink"/>
          </w:rPr>
          <w:t xml:space="preserve"> </w:t>
        </w:r>
        <w:r>
          <w:rPr>
            <w:rStyle w:val="InternetLink"/>
          </w:rPr>
          <w:t xml:space="preserve">A</w:t>
        </w:r>
        <w:r>
          <w:rPr>
            <w:rStyle w:val="InternetLink"/>
          </w:rPr>
          <w:t xml:space="preserve"> </w:t>
        </w:r>
        <w:r>
          <w:rPr>
            <w:rStyle w:val="InternetLink"/>
          </w:rPr>
          <w:t xml:space="preserve">cohort study</w:t>
        </w:r>
      </w:hyperlink>
      <w:r>
        <w:t xml:space="preserve">.</w:t>
      </w:r>
      <w:r>
        <w:t xml:space="preserve"> </w:t>
      </w:r>
      <w:r>
        <w:rPr>
          <w:iCs/>
          <w:i/>
        </w:rPr>
        <w:t xml:space="preserve">International Journal of Surgery</w:t>
      </w:r>
      <w:r>
        <w:t xml:space="preserve"> </w:t>
      </w:r>
      <w:r>
        <w:rPr>
          <w:bCs/>
          <w:b/>
        </w:rPr>
        <w:t xml:space="preserve">9</w:t>
      </w:r>
      <w:r>
        <w:t xml:space="preserve">, 75–78 (2011).</w:t>
      </w:r>
    </w:p>
    <w:bookmarkEnd w:id="153"/>
    <w:bookmarkStart w:id="155" w:name="ref-hashmi_hospital-based_2013"/>
    <w:p>
      <w:pPr>
        <w:pStyle w:val="Bibliography"/>
      </w:pPr>
      <w:r>
        <w:t xml:space="preserve">15.</w:t>
      </w:r>
      <w:r>
        <w:t xml:space="preserve"> </w:t>
      </w:r>
      <w:r>
        <w:t xml:space="preserve">	</w:t>
      </w:r>
      <w:r>
        <w:t xml:space="preserve">Hashmi, Z. G.</w:t>
      </w:r>
      <w:r>
        <w:t xml:space="preserve"> </w:t>
      </w:r>
      <w:r>
        <w:rPr>
          <w:iCs/>
          <w:i/>
        </w:rPr>
        <w:t xml:space="preserve">et al.</w:t>
      </w:r>
      <w:r>
        <w:t xml:space="preserve"> </w:t>
      </w:r>
      <w:hyperlink r:id="rId154">
        <w:r>
          <w:rPr>
            <w:rStyle w:val="InternetLink"/>
          </w:rPr>
          <w:t xml:space="preserve">Hospital-based trauma quality improvement initiatives:</w:t>
        </w:r>
        <w:r>
          <w:rPr>
            <w:rStyle w:val="InternetLink"/>
          </w:rPr>
          <w:t xml:space="preserve"> </w:t>
        </w:r>
        <w:r>
          <w:rPr>
            <w:rStyle w:val="InternetLink"/>
          </w:rPr>
          <w:t xml:space="preserve">First</w:t>
        </w:r>
        <w:r>
          <w:rPr>
            <w:rStyle w:val="InternetLink"/>
          </w:rPr>
          <w:t xml:space="preserve"> </w:t>
        </w:r>
        <w:r>
          <w:rPr>
            <w:rStyle w:val="InternetLink"/>
          </w:rPr>
          <w:t xml:space="preserve">step toward improving trauma outcomes in the developing world</w:t>
        </w:r>
      </w:hyperlink>
      <w:r>
        <w:t xml:space="preserve">.</w:t>
      </w:r>
      <w:r>
        <w:t xml:space="preserve"> </w:t>
      </w:r>
      <w:r>
        <w:rPr>
          <w:iCs/>
          <w:i/>
        </w:rPr>
        <w:t xml:space="preserve">Journal of Trauma and Acute Care Surgery</w:t>
      </w:r>
      <w:r>
        <w:t xml:space="preserve"> </w:t>
      </w:r>
      <w:r>
        <w:rPr>
          <w:bCs/>
          <w:b/>
        </w:rPr>
        <w:t xml:space="preserve">75</w:t>
      </w:r>
      <w:r>
        <w:t xml:space="preserve">, 60–68 (2013).</w:t>
      </w:r>
    </w:p>
    <w:bookmarkEnd w:id="155"/>
    <w:bookmarkStart w:id="157"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56">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57"/>
    <w:bookmarkStart w:id="159" w:name="ref-magnone_impact_2015"/>
    <w:p>
      <w:pPr>
        <w:pStyle w:val="Bibliography"/>
      </w:pPr>
      <w:r>
        <w:t xml:space="preserve">17.</w:t>
      </w:r>
      <w:r>
        <w:t xml:space="preserve"> </w:t>
      </w:r>
      <w:r>
        <w:t xml:space="preserve">	</w:t>
      </w:r>
      <w:r>
        <w:t xml:space="preserve">Magnone, S.</w:t>
      </w:r>
      <w:r>
        <w:t xml:space="preserve"> </w:t>
      </w:r>
      <w:r>
        <w:rPr>
          <w:iCs/>
          <w:i/>
        </w:rPr>
        <w:t xml:space="preserve">et al.</w:t>
      </w:r>
      <w:r>
        <w:t xml:space="preserve"> </w:t>
      </w:r>
      <w:hyperlink r:id="rId158">
        <w:r>
          <w:rPr>
            <w:rStyle w:val="InternetLink"/>
          </w:rPr>
          <w:t xml:space="preserve">Impact of</w:t>
        </w:r>
        <w:r>
          <w:rPr>
            <w:rStyle w:val="InternetLink"/>
          </w:rPr>
          <w:t xml:space="preserve"> </w:t>
        </w:r>
        <w:r>
          <w:rPr>
            <w:rStyle w:val="InternetLink"/>
          </w:rPr>
          <w:t xml:space="preserve">ATLS</w:t>
        </w:r>
        <w:r>
          <w:rPr>
            <w:rStyle w:val="InternetLink"/>
          </w:rPr>
          <w:t xml:space="preserve"> </w:t>
        </w:r>
        <w:r>
          <w:rPr>
            <w:rStyle w:val="InternetLink"/>
          </w:rPr>
          <w:t xml:space="preserve">Guidelines</w:t>
        </w:r>
        <w:r>
          <w:rPr>
            <w:rStyle w:val="InternetLink"/>
          </w:rPr>
          <w:t xml:space="preserve"> </w:t>
        </w:r>
        <w:r>
          <w:rPr>
            <w:rStyle w:val="InternetLink"/>
          </w:rPr>
          <w:t xml:space="preserve">and</w:t>
        </w:r>
        <w:r>
          <w:rPr>
            <w:rStyle w:val="InternetLink"/>
          </w:rPr>
          <w:t xml:space="preserve"> </w:t>
        </w:r>
        <w:r>
          <w:rPr>
            <w:rStyle w:val="InternetLink"/>
          </w:rPr>
          <w:t xml:space="preserve">Trauma</w:t>
        </w:r>
        <w:r>
          <w:rPr>
            <w:rStyle w:val="InternetLink"/>
          </w:rPr>
          <w:t xml:space="preserve"> </w:t>
        </w:r>
        <w:r>
          <w:rPr>
            <w:rStyle w:val="InternetLink"/>
          </w:rPr>
          <w:t xml:space="preserve">Team</w:t>
        </w:r>
        <w:r>
          <w:rPr>
            <w:rStyle w:val="InternetLink"/>
          </w:rPr>
          <w:t xml:space="preserve"> </w:t>
        </w:r>
        <w:r>
          <w:rPr>
            <w:rStyle w:val="InternetLink"/>
          </w:rPr>
          <w:t xml:space="preserve">Introduction</w:t>
        </w:r>
        <w:r>
          <w:rPr>
            <w:rStyle w:val="InternetLink"/>
          </w:rPr>
          <w:t xml:space="preserve"> </w:t>
        </w:r>
        <w:r>
          <w:rPr>
            <w:rStyle w:val="InternetLink"/>
          </w:rPr>
          <w:t xml:space="preserve">an 24</w:t>
        </w:r>
        <w:r>
          <w:rPr>
            <w:rStyle w:val="InternetLink"/>
          </w:rPr>
          <w:t xml:space="preserve"> </w:t>
        </w:r>
        <w:r>
          <w:rPr>
            <w:rStyle w:val="InternetLink"/>
          </w:rPr>
          <w:t xml:space="preserve">Hours</w:t>
        </w:r>
        <w:r>
          <w:rPr>
            <w:rStyle w:val="InternetLink"/>
          </w:rPr>
          <w:t xml:space="preserve"> </w:t>
        </w:r>
        <w:r>
          <w:rPr>
            <w:rStyle w:val="InternetLink"/>
          </w:rPr>
          <w:t xml:space="preserve">Mortality</w:t>
        </w:r>
        <w:r>
          <w:rPr>
            <w:rStyle w:val="InternetLink"/>
          </w:rPr>
          <w:t xml:space="preserve"> </w:t>
        </w:r>
        <w:r>
          <w:rPr>
            <w:rStyle w:val="InternetLink"/>
          </w:rPr>
          <w:t xml:space="preserve">in</w:t>
        </w:r>
        <w:r>
          <w:rPr>
            <w:rStyle w:val="InternetLink"/>
          </w:rPr>
          <w:t xml:space="preserve"> </w:t>
        </w:r>
        <w:r>
          <w:rPr>
            <w:rStyle w:val="InternetLink"/>
          </w:rPr>
          <w:t xml:space="preserve">Severe</w:t>
        </w:r>
        <w:r>
          <w:rPr>
            <w:rStyle w:val="InternetLink"/>
          </w:rPr>
          <w:t xml:space="preserve"> </w:t>
        </w:r>
        <w:r>
          <w:rPr>
            <w:rStyle w:val="InternetLink"/>
          </w:rPr>
          <w:t xml:space="preserve">Trauma</w:t>
        </w:r>
        <w:r>
          <w:rPr>
            <w:rStyle w:val="InternetLink"/>
          </w:rPr>
          <w:t xml:space="preserve"> </w:t>
        </w:r>
        <w:r>
          <w:rPr>
            <w:rStyle w:val="InternetLink"/>
          </w:rPr>
          <w:t xml:space="preserve">in a</w:t>
        </w:r>
        <w:r>
          <w:rPr>
            <w:rStyle w:val="InternetLink"/>
          </w:rPr>
          <w:t xml:space="preserve"> </w:t>
        </w:r>
        <w:r>
          <w:rPr>
            <w:rStyle w:val="InternetLink"/>
          </w:rPr>
          <w:t xml:space="preserve">Busy</w:t>
        </w:r>
        <w:r>
          <w:rPr>
            <w:rStyle w:val="InternetLink"/>
          </w:rPr>
          <w:t xml:space="preserve"> </w:t>
        </w:r>
        <w:r>
          <w:rPr>
            <w:rStyle w:val="InternetLink"/>
          </w:rPr>
          <w:t xml:space="preserve">Italian</w:t>
        </w:r>
        <w:r>
          <w:rPr>
            <w:rStyle w:val="InternetLink"/>
          </w:rPr>
          <w:t xml:space="preserve"> </w:t>
        </w:r>
        <w:r>
          <w:rPr>
            <w:rStyle w:val="InternetLink"/>
          </w:rPr>
          <w:t xml:space="preserve">Metropolitan</w:t>
        </w:r>
        <w:r>
          <w:rPr>
            <w:rStyle w:val="InternetLink"/>
          </w:rPr>
          <w:t xml:space="preserve"> </w:t>
        </w:r>
        <w:r>
          <w:rPr>
            <w:rStyle w:val="InternetLink"/>
          </w:rPr>
          <w:t xml:space="preserve">Hospital</w:t>
        </w:r>
        <w:r>
          <w:rPr>
            <w:rStyle w:val="InternetLink"/>
          </w:rPr>
          <w:t xml:space="preserve">: A</w:t>
        </w:r>
        <w:r>
          <w:rPr>
            <w:rStyle w:val="InternetLink"/>
          </w:rPr>
          <w:t xml:space="preserve"> </w:t>
        </w:r>
        <w:r>
          <w:rPr>
            <w:rStyle w:val="InternetLink"/>
          </w:rPr>
          <w:t xml:space="preserve">Case</w:t>
        </w:r>
        <w:r>
          <w:rPr>
            <w:rStyle w:val="InternetLink"/>
          </w:rPr>
          <w:t xml:space="preserve"> </w:t>
        </w:r>
        <w:r>
          <w:rPr>
            <w:rStyle w:val="InternetLink"/>
          </w:rPr>
          <w:t xml:space="preserve">Control</w:t>
        </w:r>
        <w:r>
          <w:rPr>
            <w:rStyle w:val="InternetLink"/>
          </w:rPr>
          <w:t xml:space="preserve"> </w:t>
        </w:r>
        <w:r>
          <w:rPr>
            <w:rStyle w:val="InternetLink"/>
          </w:rPr>
          <w:t xml:space="preserve">Study</w:t>
        </w:r>
        <w:r>
          <w:rPr>
            <w:rStyle w:val="InternetLink"/>
          </w:rPr>
          <w:t xml:space="preserve">.</w:t>
        </w:r>
      </w:hyperlink>
      <w:r>
        <w:t xml:space="preserve"> </w:t>
      </w:r>
      <w:r>
        <w:rPr>
          <w:iCs/>
          <w:i/>
        </w:rPr>
        <w:t xml:space="preserve">Turkish Journal of Trauma and Emergency Surgery</w:t>
      </w:r>
      <w:r>
        <w:t xml:space="preserve"> </w:t>
      </w:r>
      <w:r>
        <w:t xml:space="preserve">(2015).</w:t>
      </w:r>
    </w:p>
    <w:bookmarkEnd w:id="159"/>
    <w:bookmarkStart w:id="160" w:name="ref-bellanova_mountain_2016"/>
    <w:p>
      <w:pPr>
        <w:pStyle w:val="Bibliography"/>
      </w:pPr>
      <w:r>
        <w:t xml:space="preserve">18.</w:t>
      </w:r>
      <w:r>
        <w:t xml:space="preserve"> </w:t>
      </w:r>
      <w:r>
        <w:t xml:space="preserve">	</w:t>
      </w:r>
      <w:r>
        <w:t xml:space="preserve">Bellanova, G.</w:t>
      </w:r>
      <w:r>
        <w:t xml:space="preserve"> </w:t>
      </w:r>
      <w:r>
        <w:rPr>
          <w:iCs/>
          <w:i/>
        </w:rPr>
        <w:t xml:space="preserve">et al.</w:t>
      </w:r>
      <w:r>
        <w:t xml:space="preserve"> In a</w:t>
      </w:r>
      <w:r>
        <w:t xml:space="preserve"> </w:t>
      </w:r>
      <w:r>
        <w:t xml:space="preserve">Mountain</w:t>
      </w:r>
      <w:r>
        <w:t xml:space="preserve"> </w:t>
      </w:r>
      <w:r>
        <w:t xml:space="preserve">Trauma</w:t>
      </w:r>
      <w:r>
        <w:t xml:space="preserve"> </w:t>
      </w:r>
      <w:r>
        <w:t xml:space="preserve">Center</w:t>
      </w:r>
      <w:r>
        <w:t xml:space="preserve">.</w:t>
      </w:r>
      <w:r>
        <w:t xml:space="preserve"> </w:t>
      </w:r>
      <w:r>
        <w:rPr>
          <w:iCs/>
          <w:i/>
        </w:rPr>
        <w:t xml:space="preserve">Ann. Ital. Chir.</w:t>
      </w:r>
      <w:r>
        <w:t xml:space="preserve"> </w:t>
      </w:r>
      <w:r>
        <w:t xml:space="preserve">(2016).</w:t>
      </w:r>
    </w:p>
    <w:bookmarkEnd w:id="160"/>
    <w:bookmarkStart w:id="162" w:name="ref-CioèPeña2016"/>
    <w:p>
      <w:pPr>
        <w:pStyle w:val="Bibliography"/>
      </w:pPr>
      <w:r>
        <w:t xml:space="preserve">19.</w:t>
      </w:r>
      <w:r>
        <w:t xml:space="preserve"> </w:t>
      </w:r>
      <w:r>
        <w:t xml:space="preserve">	</w:t>
      </w:r>
      <w:r>
        <w:t xml:space="preserve">Cioè-Peña, E.</w:t>
      </w:r>
      <w:r>
        <w:t xml:space="preserve"> </w:t>
      </w:r>
      <w:r>
        <w:rPr>
          <w:iCs/>
          <w:i/>
        </w:rPr>
        <w:t xml:space="preserve">et al.</w:t>
      </w:r>
      <w:r>
        <w:t xml:space="preserve"> </w:t>
      </w:r>
      <w:hyperlink r:id="rId161">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62"/>
    <w:bookmarkStart w:id="164" w:name="ref-kamau_impact_2024"/>
    <w:p>
      <w:pPr>
        <w:pStyle w:val="Bibliography"/>
      </w:pPr>
      <w:r>
        <w:t xml:space="preserve">20.</w:t>
      </w:r>
      <w:r>
        <w:t xml:space="preserve"> </w:t>
      </w:r>
      <w:r>
        <w:t xml:space="preserve">	</w:t>
      </w:r>
      <w:r>
        <w:t xml:space="preserve">Kamau, C.</w:t>
      </w:r>
      <w:r>
        <w:t xml:space="preserve"> </w:t>
      </w:r>
      <w:r>
        <w:rPr>
          <w:iCs/>
          <w:i/>
        </w:rPr>
        <w:t xml:space="preserve">et al.</w:t>
      </w:r>
      <w:r>
        <w:t xml:space="preserve"> </w:t>
      </w:r>
      <w:hyperlink r:id="rId163">
        <w:r>
          <w:rPr>
            <w:rStyle w:val="InternetLink"/>
          </w:rPr>
          <w:t xml:space="preserve">Impact of advanced trauma life support training on 30-day mortality in severely injured patients at a</w:t>
        </w:r>
        <w:r>
          <w:rPr>
            <w:rStyle w:val="InternetLink"/>
          </w:rPr>
          <w:t xml:space="preserve"> </w:t>
        </w:r>
        <w:r>
          <w:rPr>
            <w:rStyle w:val="InternetLink"/>
          </w:rPr>
          <w:t xml:space="preserve">Kenyan</w:t>
        </w:r>
        <w:r>
          <w:rPr>
            <w:rStyle w:val="InternetLink"/>
          </w:rPr>
          <w:t xml:space="preserve"> </w:t>
        </w:r>
        <w:r>
          <w:rPr>
            <w:rStyle w:val="InternetLink"/>
          </w:rPr>
          <w:t xml:space="preserve">tertiary center: A retrospective matched case-control study</w:t>
        </w:r>
      </w:hyperlink>
      <w:r>
        <w:t xml:space="preserve">.</w:t>
      </w:r>
      <w:r>
        <w:t xml:space="preserve"> </w:t>
      </w:r>
      <w:r>
        <w:rPr>
          <w:iCs/>
          <w:i/>
        </w:rPr>
        <w:t xml:space="preserve">International Journal of Emergency Medicine</w:t>
      </w:r>
      <w:r>
        <w:t xml:space="preserve"> </w:t>
      </w:r>
      <w:r>
        <w:rPr>
          <w:bCs/>
          <w:b/>
        </w:rPr>
        <w:t xml:space="preserve">17</w:t>
      </w:r>
      <w:r>
        <w:t xml:space="preserve">, 153 (2024).</w:t>
      </w:r>
    </w:p>
    <w:bookmarkEnd w:id="164"/>
    <w:bookmarkStart w:id="166" w:name="ref-kumar_evaluating_2025"/>
    <w:p>
      <w:pPr>
        <w:pStyle w:val="Bibliography"/>
      </w:pPr>
      <w:r>
        <w:t xml:space="preserve">21.</w:t>
      </w:r>
      <w:r>
        <w:t xml:space="preserve"> </w:t>
      </w:r>
      <w:r>
        <w:t xml:space="preserve">	</w:t>
      </w:r>
      <w:r>
        <w:t xml:space="preserve">Kumar, S.</w:t>
      </w:r>
      <w:r>
        <w:t xml:space="preserve"> </w:t>
      </w:r>
      <w:r>
        <w:rPr>
          <w:iCs/>
          <w:i/>
        </w:rPr>
        <w:t xml:space="preserve">et al.</w:t>
      </w:r>
      <w:r>
        <w:t xml:space="preserve"> </w:t>
      </w:r>
      <w:hyperlink r:id="rId165">
        <w:r>
          <w:rPr>
            <w:rStyle w:val="InternetLink"/>
          </w:rPr>
          <w:t xml:space="preserve">Evaluating the</w:t>
        </w:r>
        <w:r>
          <w:rPr>
            <w:rStyle w:val="InternetLink"/>
          </w:rPr>
          <w:t xml:space="preserve"> </w:t>
        </w:r>
        <w:r>
          <w:rPr>
            <w:rStyle w:val="InternetLink"/>
          </w:rPr>
          <w:t xml:space="preserve">Impact</w:t>
        </w:r>
        <w:r>
          <w:rPr>
            <w:rStyle w:val="InternetLink"/>
          </w:rPr>
          <w:t xml:space="preserve"> </w:t>
        </w:r>
        <w:r>
          <w:rPr>
            <w:rStyle w:val="InternetLink"/>
          </w:rPr>
          <w:t xml:space="preserve">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w:t>
        </w:r>
        <w:r>
          <w:rPr>
            <w:rStyle w:val="InternetLink"/>
          </w:rPr>
          <w:t xml:space="preserve">ATLS</w:t>
        </w:r>
        <w:r>
          <w:rPr>
            <w:rStyle w:val="InternetLink"/>
          </w:rPr>
          <w:t xml:space="preserve">)</w:t>
        </w:r>
        <w:r>
          <w:rPr>
            <w:rStyle w:val="InternetLink"/>
          </w:rPr>
          <w:t xml:space="preserve"> </w:t>
        </w:r>
        <w:r>
          <w:rPr>
            <w:rStyle w:val="InternetLink"/>
          </w:rPr>
          <w:t xml:space="preserve">Training</w:t>
        </w:r>
        <w:r>
          <w:rPr>
            <w:rStyle w:val="InternetLink"/>
          </w:rPr>
          <w:t xml:space="preserve"> </w:t>
        </w:r>
        <w:r>
          <w:rPr>
            <w:rStyle w:val="InternetLink"/>
          </w:rPr>
          <w:t xml:space="preserve">in</w:t>
        </w:r>
        <w:r>
          <w:rPr>
            <w:rStyle w:val="InternetLink"/>
          </w:rPr>
          <w:t xml:space="preserve"> </w:t>
        </w:r>
        <w:r>
          <w:rPr>
            <w:rStyle w:val="InternetLink"/>
          </w:rPr>
          <w:t xml:space="preserve">Reducing</w:t>
        </w:r>
        <w:r>
          <w:rPr>
            <w:rStyle w:val="InternetLink"/>
          </w:rPr>
          <w:t xml:space="preserve"> </w:t>
        </w:r>
        <w:r>
          <w:rPr>
            <w:rStyle w:val="InternetLink"/>
          </w:rPr>
          <w:t xml:space="preserve">Preventable</w:t>
        </w:r>
        <w:r>
          <w:rPr>
            <w:rStyle w:val="InternetLink"/>
          </w:rPr>
          <w:t xml:space="preserve"> </w:t>
        </w:r>
        <w:r>
          <w:rPr>
            <w:rStyle w:val="InternetLink"/>
          </w:rPr>
          <w:t xml:space="preserve">and</w:t>
        </w:r>
        <w:r>
          <w:rPr>
            <w:rStyle w:val="InternetLink"/>
          </w:rPr>
          <w:t xml:space="preserve"> </w:t>
        </w:r>
        <w:r>
          <w:rPr>
            <w:rStyle w:val="InternetLink"/>
          </w:rPr>
          <w:t xml:space="preserve">Potentially</w:t>
        </w:r>
        <w:r>
          <w:rPr>
            <w:rStyle w:val="InternetLink"/>
          </w:rPr>
          <w:t xml:space="preserve"> </w:t>
        </w:r>
        <w:r>
          <w:rPr>
            <w:rStyle w:val="InternetLink"/>
          </w:rPr>
          <w:t xml:space="preserve">Preventable</w:t>
        </w:r>
        <w:r>
          <w:rPr>
            <w:rStyle w:val="InternetLink"/>
          </w:rPr>
          <w:t xml:space="preserve"> </w:t>
        </w:r>
        <w:r>
          <w:rPr>
            <w:rStyle w:val="InternetLink"/>
          </w:rPr>
          <w:t xml:space="preserve">Deaths</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Mixed</w:t>
        </w:r>
        <w:r>
          <w:rPr>
            <w:rStyle w:val="InternetLink"/>
          </w:rPr>
          <w:t xml:space="preserve">-</w:t>
        </w:r>
        <w:r>
          <w:rPr>
            <w:rStyle w:val="InternetLink"/>
          </w:rPr>
          <w:t xml:space="preserve">Methods</w:t>
        </w:r>
        <w:r>
          <w:rPr>
            <w:rStyle w:val="InternetLink"/>
          </w:rPr>
          <w:t xml:space="preserve"> </w:t>
        </w:r>
        <w:r>
          <w:rPr>
            <w:rStyle w:val="InternetLink"/>
          </w:rPr>
          <w:t xml:space="preserve">Cohort</w:t>
        </w:r>
        <w:r>
          <w:rPr>
            <w:rStyle w:val="InternetLink"/>
          </w:rPr>
          <w:t xml:space="preserve"> </w:t>
        </w:r>
        <w:r>
          <w:rPr>
            <w:rStyle w:val="InternetLink"/>
          </w:rPr>
          <w:t xml:space="preserve">Study</w:t>
        </w:r>
      </w:hyperlink>
      <w:r>
        <w:t xml:space="preserve">.</w:t>
      </w:r>
      <w:r>
        <w:t xml:space="preserve"> </w:t>
      </w:r>
      <w:r>
        <w:rPr>
          <w:iCs/>
          <w:i/>
        </w:rPr>
        <w:t xml:space="preserve">Cureus</w:t>
      </w:r>
      <w:r>
        <w:t xml:space="preserve"> </w:t>
      </w:r>
      <w:r>
        <w:rPr>
          <w:bCs/>
          <w:b/>
        </w:rPr>
        <w:t xml:space="preserve">17</w:t>
      </w:r>
      <w:r>
        <w:t xml:space="preserve">, e81681 (2025).</w:t>
      </w:r>
    </w:p>
    <w:bookmarkEnd w:id="166"/>
    <w:bookmarkStart w:id="168" w:name="ref-Jin2021"/>
    <w:p>
      <w:pPr>
        <w:pStyle w:val="Bibliography"/>
      </w:pPr>
      <w:r>
        <w:t xml:space="preserve">22.</w:t>
      </w:r>
      <w:r>
        <w:t xml:space="preserve"> </w:t>
      </w:r>
      <w:r>
        <w:t xml:space="preserve">	</w:t>
      </w:r>
      <w:r>
        <w:t xml:space="preserve">Jin, J.</w:t>
      </w:r>
      <w:r>
        <w:t xml:space="preserve"> </w:t>
      </w:r>
      <w:r>
        <w:rPr>
          <w:iCs/>
          <w:i/>
        </w:rPr>
        <w:t xml:space="preserve">et al.</w:t>
      </w:r>
      <w:r>
        <w:t xml:space="preserve"> </w:t>
      </w:r>
      <w:hyperlink r:id="rId167">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68"/>
    <w:bookmarkStart w:id="170" w:name="ref-putra_impact_2023"/>
    <w:p>
      <w:pPr>
        <w:pStyle w:val="Bibliography"/>
      </w:pPr>
      <w:r>
        <w:t xml:space="preserve">23.</w:t>
      </w:r>
      <w:r>
        <w:t xml:space="preserve"> </w:t>
      </w:r>
      <w:r>
        <w:t xml:space="preserve">	</w:t>
      </w:r>
      <w:r>
        <w:t xml:space="preserve">Putra, A. B.</w:t>
      </w:r>
      <w:r>
        <w:t xml:space="preserve"> </w:t>
      </w:r>
      <w:r>
        <w:rPr>
          <w:iCs/>
          <w:i/>
        </w:rPr>
        <w:t xml:space="preserve">et al.</w:t>
      </w:r>
      <w:r>
        <w:t xml:space="preserve"> </w:t>
      </w:r>
      <w:hyperlink r:id="rId169">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70"/>
    <w:bookmarkStart w:id="172" w:name="ref-mciver_effect_2024"/>
    <w:p>
      <w:pPr>
        <w:pStyle w:val="Bibliography"/>
      </w:pPr>
      <w:r>
        <w:t xml:space="preserve">24.</w:t>
      </w:r>
      <w:r>
        <w:t xml:space="preserve"> </w:t>
      </w:r>
      <w:r>
        <w:t xml:space="preserve">	</w:t>
      </w:r>
      <w:r>
        <w:t xml:space="preserve">McIver, R.</w:t>
      </w:r>
      <w:r>
        <w:t xml:space="preserve"> </w:t>
      </w:r>
      <w:r>
        <w:rPr>
          <w:iCs/>
          <w:i/>
        </w:rPr>
        <w:t xml:space="preserve">et al.</w:t>
      </w:r>
      <w:r>
        <w:t xml:space="preserve"> </w:t>
      </w:r>
      <w:hyperlink r:id="rId171">
        <w:r>
          <w:rPr>
            <w:rStyle w:val="InternetLink"/>
          </w:rPr>
          <w:t xml:space="preserve">Effect of trauma quality improvement initiatives on outcomes and costs at community hospitals:</w:t>
        </w:r>
        <w:r>
          <w:rPr>
            <w:rStyle w:val="InternetLink"/>
          </w:rPr>
          <w:t xml:space="preserve"> </w:t>
        </w:r>
        <w:r>
          <w:rPr>
            <w:rStyle w:val="InternetLink"/>
          </w:rPr>
          <w:t xml:space="preserve">A</w:t>
        </w:r>
        <w:r>
          <w:rPr>
            <w:rStyle w:val="InternetLink"/>
          </w:rPr>
          <w:t xml:space="preserve"> </w:t>
        </w:r>
        <w:r>
          <w:rPr>
            <w:rStyle w:val="InternetLink"/>
          </w:rPr>
          <w:t xml:space="preserve">scoping review</w:t>
        </w:r>
      </w:hyperlink>
      <w:r>
        <w:t xml:space="preserve">.</w:t>
      </w:r>
      <w:r>
        <w:t xml:space="preserve"> </w:t>
      </w:r>
      <w:r>
        <w:rPr>
          <w:iCs/>
          <w:i/>
        </w:rPr>
        <w:t xml:space="preserve">Injury</w:t>
      </w:r>
      <w:r>
        <w:t xml:space="preserve"> </w:t>
      </w:r>
      <w:r>
        <w:rPr>
          <w:bCs/>
          <w:b/>
        </w:rPr>
        <w:t xml:space="preserve">55</w:t>
      </w:r>
      <w:r>
        <w:t xml:space="preserve">, 111492 (2024).</w:t>
      </w:r>
    </w:p>
    <w:bookmarkEnd w:id="172"/>
    <w:bookmarkStart w:id="174" w:name="ref-Ali1996"/>
    <w:p>
      <w:pPr>
        <w:pStyle w:val="Bibliography"/>
      </w:pPr>
      <w:r>
        <w:t xml:space="preserve">25.</w:t>
      </w:r>
      <w:r>
        <w:t xml:space="preserve"> </w:t>
      </w:r>
      <w:r>
        <w:t xml:space="preserve">	</w:t>
      </w:r>
      <w:r>
        <w:t xml:space="preserve">Ali, J.</w:t>
      </w:r>
      <w:r>
        <w:t xml:space="preserve"> </w:t>
      </w:r>
      <w:r>
        <w:rPr>
          <w:iCs/>
          <w:i/>
        </w:rPr>
        <w:t xml:space="preserve">et al.</w:t>
      </w:r>
      <w:r>
        <w:t xml:space="preserve"> </w:t>
      </w:r>
      <w:hyperlink r:id="rId173">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74"/>
    <w:bookmarkStart w:id="176" w:name="ref-Ali1999"/>
    <w:p>
      <w:pPr>
        <w:pStyle w:val="Bibliography"/>
      </w:pPr>
      <w:r>
        <w:t xml:space="preserve">26.</w:t>
      </w:r>
      <w:r>
        <w:t xml:space="preserve"> </w:t>
      </w:r>
      <w:r>
        <w:t xml:space="preserve">	</w:t>
      </w:r>
      <w:r>
        <w:t xml:space="preserve">Ali, J.</w:t>
      </w:r>
      <w:r>
        <w:t xml:space="preserve"> </w:t>
      </w:r>
      <w:r>
        <w:rPr>
          <w:iCs/>
          <w:i/>
        </w:rPr>
        <w:t xml:space="preserve">et al.</w:t>
      </w:r>
      <w:r>
        <w:t xml:space="preserve"> </w:t>
      </w:r>
      <w:hyperlink r:id="rId175">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76"/>
    <w:bookmarkStart w:id="178" w:name="ref-GerdinWärnberg2022"/>
    <w:p>
      <w:pPr>
        <w:pStyle w:val="Bibliography"/>
      </w:pPr>
      <w:r>
        <w:t xml:space="preserve">27.</w:t>
      </w:r>
      <w:r>
        <w:t xml:space="preserve"> </w:t>
      </w:r>
      <w:r>
        <w:t xml:space="preserve">	</w:t>
      </w:r>
      <w:r>
        <w:t xml:space="preserve">Gerdin Wärnberg, M.</w:t>
      </w:r>
      <w:r>
        <w:t xml:space="preserve"> </w:t>
      </w:r>
      <w:r>
        <w:rPr>
          <w:iCs/>
          <w:i/>
        </w:rPr>
        <w:t xml:space="preserve">et al.</w:t>
      </w:r>
      <w:r>
        <w:t xml:space="preserve"> </w:t>
      </w:r>
      <w:hyperlink r:id="rId177">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78"/>
    <w:bookmarkStart w:id="180" w:name="ref-teresi_guidelines_2022"/>
    <w:p>
      <w:pPr>
        <w:pStyle w:val="Bibliography"/>
      </w:pPr>
      <w:r>
        <w:t xml:space="preserve">28.</w:t>
      </w:r>
      <w:r>
        <w:t xml:space="preserve"> </w:t>
      </w:r>
      <w:r>
        <w:t xml:space="preserve">	</w:t>
      </w:r>
      <w:r>
        <w:t xml:space="preserve">Teresi, J. A.</w:t>
      </w:r>
      <w:r>
        <w:t xml:space="preserve"> </w:t>
      </w:r>
      <w:r>
        <w:rPr>
          <w:iCs/>
          <w:i/>
        </w:rPr>
        <w:t xml:space="preserve">et al.</w:t>
      </w:r>
      <w:r>
        <w:t xml:space="preserve"> </w:t>
      </w:r>
      <w:hyperlink r:id="rId179">
        <w:r>
          <w:rPr>
            <w:rStyle w:val="InternetLink"/>
          </w:rPr>
          <w:t xml:space="preserve">Guidelines for</w:t>
        </w:r>
        <w:r>
          <w:rPr>
            <w:rStyle w:val="InternetLink"/>
          </w:rPr>
          <w:t xml:space="preserve"> </w:t>
        </w:r>
        <w:r>
          <w:rPr>
            <w:rStyle w:val="InternetLink"/>
          </w:rPr>
          <w:t xml:space="preserve">Designing</w:t>
        </w:r>
        <w:r>
          <w:rPr>
            <w:rStyle w:val="InternetLink"/>
          </w:rPr>
          <w:t xml:space="preserve"> </w:t>
        </w:r>
        <w:r>
          <w:rPr>
            <w:rStyle w:val="InternetLink"/>
          </w:rPr>
          <w:t xml:space="preserve">and</w:t>
        </w:r>
        <w:r>
          <w:rPr>
            <w:rStyle w:val="InternetLink"/>
          </w:rPr>
          <w:t xml:space="preserve"> </w:t>
        </w:r>
        <w:r>
          <w:rPr>
            <w:rStyle w:val="InternetLink"/>
          </w:rPr>
          <w:t xml:space="preserve">Evaluating</w:t>
        </w:r>
        <w:r>
          <w:rPr>
            <w:rStyle w:val="InternetLink"/>
          </w:rPr>
          <w:t xml:space="preserve"> </w:t>
        </w:r>
        <w:r>
          <w:rPr>
            <w:rStyle w:val="InternetLink"/>
          </w:rPr>
          <w:t xml:space="preserve">Feasibility</w:t>
        </w:r>
        <w:r>
          <w:rPr>
            <w:rStyle w:val="InternetLink"/>
          </w:rPr>
          <w:t xml:space="preserve"> </w:t>
        </w:r>
        <w:r>
          <w:rPr>
            <w:rStyle w:val="InternetLink"/>
          </w:rPr>
          <w:t xml:space="preserve">Pilot</w:t>
        </w:r>
        <w:r>
          <w:rPr>
            <w:rStyle w:val="InternetLink"/>
          </w:rPr>
          <w:t xml:space="preserve"> </w:t>
        </w:r>
        <w:r>
          <w:rPr>
            <w:rStyle w:val="InternetLink"/>
          </w:rPr>
          <w:t xml:space="preserve">Studies</w:t>
        </w:r>
      </w:hyperlink>
      <w:r>
        <w:t xml:space="preserve">.</w:t>
      </w:r>
      <w:r>
        <w:t xml:space="preserve"> </w:t>
      </w:r>
      <w:r>
        <w:rPr>
          <w:iCs/>
          <w:i/>
        </w:rPr>
        <w:t xml:space="preserve">Medical care</w:t>
      </w:r>
      <w:r>
        <w:t xml:space="preserve"> </w:t>
      </w:r>
      <w:r>
        <w:rPr>
          <w:bCs/>
          <w:b/>
        </w:rPr>
        <w:t xml:space="preserve">60</w:t>
      </w:r>
      <w:r>
        <w:t xml:space="preserve">, 95–103 (2022).</w:t>
      </w:r>
    </w:p>
    <w:bookmarkEnd w:id="180"/>
    <w:bookmarkStart w:id="182" w:name="ref-icdpicr_2022"/>
    <w:p>
      <w:pPr>
        <w:pStyle w:val="Bibliography"/>
      </w:pPr>
      <w:r>
        <w:t xml:space="preserve">29.</w:t>
      </w:r>
      <w:r>
        <w:t xml:space="preserve"> </w:t>
      </w:r>
      <w:r>
        <w:t xml:space="preserve">	</w:t>
      </w:r>
      <w:r>
        <w:t xml:space="preserve">Black, A.</w:t>
      </w:r>
      <w:r>
        <w:t xml:space="preserve"> </w:t>
      </w:r>
      <w:r>
        <w:rPr>
          <w:iCs/>
          <w:i/>
        </w:rPr>
        <w:t xml:space="preserve">et al.</w:t>
      </w:r>
      <w:r>
        <w:t xml:space="preserve"> </w:t>
      </w:r>
      <w:hyperlink r:id="rId181">
        <w:r>
          <w:rPr>
            <w:rStyle w:val="InternetLink"/>
            <w:iCs/>
            <w:i/>
          </w:rPr>
          <w:t xml:space="preserve">Icdpicr: ’ICD’ programs for injury categorization in r</w:t>
        </w:r>
      </w:hyperlink>
      <w:r>
        <w:t xml:space="preserve">. (2022).</w:t>
      </w:r>
    </w:p>
    <w:bookmarkEnd w:id="182"/>
    <w:bookmarkStart w:id="184" w:name="ref-jyani_development_2022"/>
    <w:p>
      <w:pPr>
        <w:pStyle w:val="Bibliography"/>
      </w:pPr>
      <w:r>
        <w:t xml:space="preserve">30.</w:t>
      </w:r>
      <w:r>
        <w:t xml:space="preserve"> </w:t>
      </w:r>
      <w:r>
        <w:t xml:space="preserve">	</w:t>
      </w:r>
      <w:r>
        <w:t xml:space="preserve">Jyani, G.</w:t>
      </w:r>
      <w:r>
        <w:t xml:space="preserve"> </w:t>
      </w:r>
      <w:r>
        <w:rPr>
          <w:iCs/>
          <w:i/>
        </w:rPr>
        <w:t xml:space="preserve">et al.</w:t>
      </w:r>
      <w:r>
        <w:t xml:space="preserve"> </w:t>
      </w:r>
      <w:hyperlink r:id="rId183">
        <w:r>
          <w:rPr>
            <w:rStyle w:val="InternetLink"/>
          </w:rPr>
          <w:t xml:space="preserve">Development of an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r>
          <w:rPr>
            <w:rStyle w:val="InternetLink"/>
          </w:rPr>
          <w:t xml:space="preserve"> </w:t>
        </w:r>
        <w:r>
          <w:rPr>
            <w:rStyle w:val="InternetLink"/>
          </w:rPr>
          <w:t xml:space="preserve">for</w:t>
        </w:r>
        <w:r>
          <w:rPr>
            <w:rStyle w:val="InternetLink"/>
          </w:rPr>
          <w:t xml:space="preserve"> </w:t>
        </w:r>
        <w:r>
          <w:rPr>
            <w:rStyle w:val="InternetLink"/>
          </w:rPr>
          <w:t xml:space="preserve">India</w:t>
        </w:r>
        <w:r>
          <w:rPr>
            <w:rStyle w:val="InternetLink"/>
          </w:rPr>
          <w:t xml:space="preserve"> </w:t>
        </w:r>
        <w:r>
          <w:rPr>
            <w:rStyle w:val="InternetLink"/>
          </w:rPr>
          <w:t xml:space="preserve">Using</w:t>
        </w:r>
        <w:r>
          <w:rPr>
            <w:rStyle w:val="InternetLink"/>
          </w:rPr>
          <w:t xml:space="preserve"> </w:t>
        </w:r>
        <w:r>
          <w:rPr>
            <w:rStyle w:val="InternetLink"/>
          </w:rPr>
          <w:t xml:space="preserve">an</w:t>
        </w:r>
        <w:r>
          <w:rPr>
            <w:rStyle w:val="InternetLink"/>
          </w:rPr>
          <w:t xml:space="preserve"> </w:t>
        </w:r>
        <w:r>
          <w:rPr>
            <w:rStyle w:val="InternetLink"/>
          </w:rPr>
          <w:t xml:space="preserve">Extended</w:t>
        </w:r>
        <w:r>
          <w:rPr>
            <w:rStyle w:val="InternetLink"/>
          </w:rPr>
          <w:t xml:space="preserve"> </w:t>
        </w:r>
        <w:r>
          <w:rPr>
            <w:rStyle w:val="InternetLink"/>
          </w:rPr>
          <w:t xml:space="preserve">Design</w:t>
        </w:r>
        <w:r>
          <w:rPr>
            <w:rStyle w:val="InternetLink"/>
          </w:rPr>
          <w:t xml:space="preserve"> </w:t>
        </w:r>
        <w:r>
          <w:rPr>
            <w:rStyle w:val="InternetLink"/>
          </w:rPr>
          <w:t xml:space="preserve">(</w:t>
        </w:r>
        <w:r>
          <w:rPr>
            <w:rStyle w:val="InternetLink"/>
          </w:rPr>
          <w:t xml:space="preserve">DEVINE</w:t>
        </w:r>
        <w:r>
          <w:rPr>
            <w:rStyle w:val="InternetLink"/>
          </w:rPr>
          <w:t xml:space="preserve">)</w:t>
        </w:r>
        <w:r>
          <w:rPr>
            <w:rStyle w:val="InternetLink"/>
          </w:rPr>
          <w:t xml:space="preserve"> </w:t>
        </w:r>
        <w:r>
          <w:rPr>
            <w:rStyle w:val="InternetLink"/>
          </w:rPr>
          <w:t xml:space="preserve">Study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Indian</w:t>
        </w:r>
        <w:r>
          <w:rPr>
            <w:rStyle w:val="InternetLink"/>
          </w:rPr>
          <w:t xml:space="preserve"> </w:t>
        </w:r>
        <w:r>
          <w:rPr>
            <w:rStyle w:val="InternetLink"/>
          </w:rPr>
          <w:t xml:space="preserve">5-</w:t>
        </w:r>
        <w:r>
          <w:rPr>
            <w:rStyle w:val="InternetLink"/>
          </w:rPr>
          <w:t xml:space="preserve">Level</w:t>
        </w:r>
        <w:r>
          <w:rPr>
            <w:rStyle w:val="InternetLink"/>
          </w:rPr>
          <w:t xml:space="preserve"> </w:t>
        </w:r>
        <w:r>
          <w:rPr>
            <w:rStyle w:val="InternetLink"/>
          </w:rPr>
          <w:t xml:space="preserve">Version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hyperlink>
      <w:r>
        <w:t xml:space="preserve">.</w:t>
      </w:r>
      <w:r>
        <w:t xml:space="preserve"> </w:t>
      </w:r>
      <w:r>
        <w:rPr>
          <w:iCs/>
          <w:i/>
        </w:rPr>
        <w:t xml:space="preserve">Value in Health</w:t>
      </w:r>
      <w:r>
        <w:t xml:space="preserve"> </w:t>
      </w:r>
      <w:r>
        <w:rPr>
          <w:bCs/>
          <w:b/>
        </w:rPr>
        <w:t xml:space="preserve">25</w:t>
      </w:r>
      <w:r>
        <w:t xml:space="preserve">, 1218–1226 (2022).</w:t>
      </w:r>
    </w:p>
    <w:bookmarkEnd w:id="184"/>
    <w:bookmarkStart w:id="186" w:name="ref-david_patient-reported_2024"/>
    <w:p>
      <w:pPr>
        <w:pStyle w:val="Bibliography"/>
      </w:pPr>
      <w:r>
        <w:t xml:space="preserve">31.</w:t>
      </w:r>
      <w:r>
        <w:t xml:space="preserve"> </w:t>
      </w:r>
      <w:r>
        <w:t xml:space="preserve">	</w:t>
      </w:r>
      <w:r>
        <w:t xml:space="preserve">David, S.</w:t>
      </w:r>
      <w:r>
        <w:t xml:space="preserve"> </w:t>
      </w:r>
      <w:r>
        <w:rPr>
          <w:iCs/>
          <w:i/>
        </w:rPr>
        <w:t xml:space="preserve">et al.</w:t>
      </w:r>
      <w:r>
        <w:t xml:space="preserve"> </w:t>
      </w:r>
      <w:hyperlink r:id="rId185">
        <w:r>
          <w:rPr>
            <w:rStyle w:val="InternetLink"/>
          </w:rPr>
          <w:t xml:space="preserve">Patient-reported outcomes relevant to post-discharge trauma patients in urban</w:t>
        </w:r>
        <w:r>
          <w:rPr>
            <w:rStyle w:val="InternetLink"/>
          </w:rPr>
          <w:t xml:space="preserve"> </w:t>
        </w:r>
        <w:r>
          <w:rPr>
            <w:rStyle w:val="InternetLink"/>
          </w:rPr>
          <w:t xml:space="preserve">India</w:t>
        </w:r>
      </w:hyperlink>
      <w:r>
        <w:t xml:space="preserve">. (2024).</w:t>
      </w:r>
    </w:p>
    <w:bookmarkEnd w:id="186"/>
    <w:bookmarkStart w:id="188" w:name="ref-R_2024"/>
    <w:p>
      <w:pPr>
        <w:pStyle w:val="Bibliography"/>
      </w:pPr>
      <w:r>
        <w:t xml:space="preserve">32.</w:t>
      </w:r>
      <w:r>
        <w:t xml:space="preserve"> </w:t>
      </w:r>
      <w:r>
        <w:t xml:space="preserve">	</w:t>
      </w:r>
      <w:r>
        <w:t xml:space="preserve">R Core Team.</w:t>
      </w:r>
      <w:r>
        <w:t xml:space="preserve"> </w:t>
      </w:r>
      <w:hyperlink r:id="rId187">
        <w:r>
          <w:rPr>
            <w:rStyle w:val="InternetLink"/>
            <w:iCs/>
            <w:i/>
          </w:rPr>
          <w:t xml:space="preserve">R: A language and environment for statistical computing</w:t>
        </w:r>
      </w:hyperlink>
      <w:r>
        <w:t xml:space="preserve">. (R Foundation for Statistical Computing, 2024).</w:t>
      </w:r>
    </w:p>
    <w:bookmarkEnd w:id="188"/>
    <w:bookmarkStart w:id="190" w:name="ref-Lee2014"/>
    <w:p>
      <w:pPr>
        <w:pStyle w:val="Bibliography"/>
      </w:pPr>
      <w:r>
        <w:t xml:space="preserve">33.</w:t>
      </w:r>
      <w:r>
        <w:t xml:space="preserve"> </w:t>
      </w:r>
      <w:r>
        <w:t xml:space="preserve">	</w:t>
      </w:r>
      <w:r>
        <w:t xml:space="preserve">Lee, E. C.</w:t>
      </w:r>
      <w:r>
        <w:t xml:space="preserve"> </w:t>
      </w:r>
      <w:r>
        <w:rPr>
          <w:iCs/>
          <w:i/>
        </w:rPr>
        <w:t xml:space="preserve">et al.</w:t>
      </w:r>
      <w:r>
        <w:t xml:space="preserve"> </w:t>
      </w:r>
      <w:hyperlink r:id="rId189">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90"/>
    <w:bookmarkStart w:id="192" w:name="ref-warnberg_additional_2025"/>
    <w:p>
      <w:pPr>
        <w:pStyle w:val="Bibliography"/>
      </w:pPr>
      <w:r>
        <w:t xml:space="preserve">34.</w:t>
      </w:r>
      <w:r>
        <w:t xml:space="preserve"> </w:t>
      </w:r>
      <w:r>
        <w:t xml:space="preserve">	</w:t>
      </w:r>
      <w:r>
        <w:t xml:space="preserve">Wärnberg, M.</w:t>
      </w:r>
      <w:r>
        <w:t xml:space="preserve"> </w:t>
      </w:r>
      <w:hyperlink r:id="rId191">
        <w:r>
          <w:rPr>
            <w:rStyle w:val="InternetLink"/>
          </w:rPr>
          <w:t xml:space="preserve">Additional</w:t>
        </w:r>
        <w:r>
          <w:rPr>
            <w:rStyle w:val="InternetLink"/>
          </w:rPr>
          <w:t xml:space="preserve"> </w:t>
        </w:r>
        <w:r>
          <w:rPr>
            <w:rStyle w:val="InternetLink"/>
          </w:rPr>
          <w:t xml:space="preserve">Online</w:t>
        </w:r>
        <w:r>
          <w:rPr>
            <w:rStyle w:val="InternetLink"/>
          </w:rPr>
          <w:t xml:space="preserve"> </w:t>
        </w:r>
        <w:r>
          <w:rPr>
            <w:rStyle w:val="InternetLink"/>
          </w:rPr>
          <w:t xml:space="preserve">Material</w:t>
        </w:r>
        <w:r>
          <w:rPr>
            <w:rStyle w:val="InternetLink"/>
          </w:rPr>
          <w:t xml:space="preserve"> </w:t>
        </w:r>
        <w:r>
          <w:rPr>
            <w:rStyle w:val="InternetLink"/>
          </w:rPr>
          <w:t xml:space="preserve">-</w:t>
        </w:r>
        <w:r>
          <w:rPr>
            <w:rStyle w:val="InternetLink"/>
          </w:rPr>
          <w:t xml:space="preserve"> </w:t>
        </w:r>
        <w:r>
          <w:rPr>
            <w:rStyle w:val="InternetLink"/>
          </w:rPr>
          <w:t xml:space="preserve">Feasibility</w:t>
        </w:r>
        <w:r>
          <w:rPr>
            <w:rStyle w:val="InternetLink"/>
          </w:rPr>
          <w:t xml:space="preserve"> </w:t>
        </w:r>
        <w:r>
          <w:rPr>
            <w:rStyle w:val="InternetLink"/>
          </w:rPr>
          <w:t xml:space="preserve">of a</w:t>
        </w:r>
        <w:r>
          <w:rPr>
            <w:rStyle w:val="InternetLink"/>
          </w:rPr>
          <w:t xml:space="preserve"> </w:t>
        </w:r>
        <w:r>
          <w:rPr>
            <w:rStyle w:val="InternetLink"/>
          </w:rPr>
          <w:t xml:space="preserve">Cluster</w:t>
        </w:r>
        <w:r>
          <w:rPr>
            <w:rStyle w:val="InternetLink"/>
          </w:rPr>
          <w:t xml:space="preserve"> </w:t>
        </w:r>
        <w:r>
          <w:rPr>
            <w:rStyle w:val="InternetLink"/>
          </w:rPr>
          <w:t xml:space="preserve">Randomised</w:t>
        </w:r>
        <w:r>
          <w:rPr>
            <w:rStyle w:val="InternetLink"/>
          </w:rPr>
          <w:t xml:space="preserve"> </w:t>
        </w:r>
        <w:r>
          <w:rPr>
            <w:rStyle w:val="InternetLink"/>
          </w:rPr>
          <w:t xml:space="preserve">Trial</w:t>
        </w:r>
        <w:r>
          <w:rPr>
            <w:rStyle w:val="InternetLink"/>
          </w:rPr>
          <w:t xml:space="preserve"> </w:t>
        </w:r>
        <w:r>
          <w:rPr>
            <w:rStyle w:val="InternetLink"/>
          </w:rPr>
          <w:t xml:space="preserve">on the</w:t>
        </w:r>
        <w:r>
          <w:rPr>
            <w:rStyle w:val="InternetLink"/>
          </w:rPr>
          <w:t xml:space="preserve"> </w:t>
        </w:r>
        <w:r>
          <w:rPr>
            <w:rStyle w:val="InternetLink"/>
          </w:rPr>
          <w:t xml:space="preserve">Effect</w:t>
        </w:r>
        <w:r>
          <w:rPr>
            <w:rStyle w:val="InternetLink"/>
          </w:rPr>
          <w:t xml:space="preserve"> </w:t>
        </w:r>
        <w:r>
          <w:rPr>
            <w:rStyle w:val="InternetLink"/>
          </w:rPr>
          <w:t xml:space="preserve">of</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Pilot</w:t>
        </w:r>
        <w:r>
          <w:rPr>
            <w:rStyle w:val="InternetLink"/>
          </w:rPr>
          <w:t xml:space="preserve"> </w:t>
        </w:r>
        <w:r>
          <w:rPr>
            <w:rStyle w:val="InternetLink"/>
          </w:rPr>
          <w:t xml:space="preserve">Study</w:t>
        </w:r>
        <w:r>
          <w:rPr>
            <w:rStyle w:val="InternetLink"/>
          </w:rPr>
          <w:t xml:space="preserve"> </w:t>
        </w:r>
        <w:r>
          <w:rPr>
            <w:rStyle w:val="InternetLink"/>
          </w:rPr>
          <w:t xml:space="preserve">in</w:t>
        </w:r>
        <w:r>
          <w:rPr>
            <w:rStyle w:val="InternetLink"/>
          </w:rPr>
          <w:t xml:space="preserve"> </w:t>
        </w:r>
        <w:r>
          <w:rPr>
            <w:rStyle w:val="InternetLink"/>
          </w:rPr>
          <w:t xml:space="preserve">India</w:t>
        </w:r>
      </w:hyperlink>
      <w:r>
        <w:t xml:space="preserve">. (2025).</w:t>
      </w:r>
    </w:p>
    <w:bookmarkEnd w:id="192"/>
    <w:bookmarkStart w:id="194" w:name="ref-Roberts2013"/>
    <w:p>
      <w:pPr>
        <w:pStyle w:val="Bibliography"/>
      </w:pPr>
      <w:r>
        <w:t xml:space="preserve">35.</w:t>
      </w:r>
      <w:r>
        <w:t xml:space="preserve"> </w:t>
      </w:r>
      <w:r>
        <w:t xml:space="preserve">	</w:t>
      </w:r>
      <w:r>
        <w:t xml:space="preserve">Roberts, I.</w:t>
      </w:r>
      <w:r>
        <w:t xml:space="preserve"> </w:t>
      </w:r>
      <w:r>
        <w:rPr>
          <w:iCs/>
          <w:i/>
        </w:rPr>
        <w:t xml:space="preserve">et al.</w:t>
      </w:r>
      <w:r>
        <w:t xml:space="preserve"> </w:t>
      </w:r>
      <w:hyperlink r:id="rId193">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94"/>
    <w:bookmarkStart w:id="196" w:name="ref-Sierink2016"/>
    <w:p>
      <w:pPr>
        <w:pStyle w:val="Bibliography"/>
      </w:pPr>
      <w:r>
        <w:t xml:space="preserve">36.</w:t>
      </w:r>
      <w:r>
        <w:t xml:space="preserve"> </w:t>
      </w:r>
      <w:r>
        <w:t xml:space="preserve">	</w:t>
      </w:r>
      <w:r>
        <w:t xml:space="preserve">Sierink, J. C.</w:t>
      </w:r>
      <w:r>
        <w:t xml:space="preserve"> </w:t>
      </w:r>
      <w:r>
        <w:rPr>
          <w:iCs/>
          <w:i/>
        </w:rPr>
        <w:t xml:space="preserve">et al.</w:t>
      </w:r>
      <w:r>
        <w:t xml:space="preserve"> </w:t>
      </w:r>
      <w:hyperlink r:id="rId195">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96"/>
    <w:bookmarkStart w:id="198" w:name="ref-eldridge_how_2015"/>
    <w:p>
      <w:pPr>
        <w:pStyle w:val="Bibliography"/>
      </w:pPr>
      <w:r>
        <w:t xml:space="preserve">37.</w:t>
      </w:r>
      <w:r>
        <w:t xml:space="preserve"> </w:t>
      </w:r>
      <w:r>
        <w:t xml:space="preserve">	</w:t>
      </w:r>
      <w:r>
        <w:t xml:space="preserve">Eldridge, S. M.</w:t>
      </w:r>
      <w:r>
        <w:t xml:space="preserve"> </w:t>
      </w:r>
      <w:r>
        <w:rPr>
          <w:iCs/>
          <w:i/>
        </w:rPr>
        <w:t xml:space="preserve">et al.</w:t>
      </w:r>
      <w:r>
        <w:t xml:space="preserve"> </w:t>
      </w:r>
      <w:hyperlink r:id="rId197">
        <w:r>
          <w:rPr>
            <w:rStyle w:val="InternetLink"/>
          </w:rPr>
          <w:t xml:space="preserve">How big should the pilot study for my cluster randomised trial be?</w:t>
        </w:r>
      </w:hyperlink>
      <w:r>
        <w:t xml:space="preserve"> </w:t>
      </w:r>
      <w:r>
        <w:rPr>
          <w:iCs/>
          <w:i/>
        </w:rPr>
        <w:t xml:space="preserve">Statistical Methods in Medical Research</w:t>
      </w:r>
      <w:r>
        <w:t xml:space="preserve"> </w:t>
      </w:r>
      <w:r>
        <w:rPr>
          <w:bCs/>
          <w:b/>
        </w:rPr>
        <w:t xml:space="preserve">25</w:t>
      </w:r>
      <w:r>
        <w:t xml:space="preserve">, 1039–1056 (2015).</w:t>
      </w:r>
    </w:p>
    <w:bookmarkEnd w:id="198"/>
    <w:bookmarkEnd w:id="199"/>
    <w:bookmarkEnd w:id="200"/>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21" Target="media/rId21.png" /><Relationship Type="http://schemas.openxmlformats.org/officeDocument/2006/relationships/image" Id="rId115" Target="media/rId115.png" /><Relationship Type="http://schemas.openxmlformats.org/officeDocument/2006/relationships/hyperlink" Id="rId130" Target="" TargetMode="External" /><Relationship Type="http://schemas.openxmlformats.org/officeDocument/2006/relationships/hyperlink" Id="rId181" Target="https://CRAN.R-project.org/package=icdpicr" TargetMode="External" /><Relationship Type="http://schemas.openxmlformats.org/officeDocument/2006/relationships/hyperlink" Id="rId134" Target="https://doi.org/10.1002/14651858.cd004173.pub4" TargetMode="External" /><Relationship Type="http://schemas.openxmlformats.org/officeDocument/2006/relationships/hyperlink" Id="rId132"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67" Target="https://doi.org/10.1007/s00268-021-06065-9" TargetMode="External" /><Relationship Type="http://schemas.openxmlformats.org/officeDocument/2006/relationships/hyperlink" Id="rId173" Target="https://doi.org/10.1007/s002689900171" TargetMode="External" /><Relationship Type="http://schemas.openxmlformats.org/officeDocument/2006/relationships/hyperlink" Id="rId145" Target="https://doi.org/10.1016/j.ajem.2004.08.013" TargetMode="External" /><Relationship Type="http://schemas.openxmlformats.org/officeDocument/2006/relationships/hyperlink" Id="rId152" Target="https://doi.org/10.1016/j.ijsu.2010.09.009" TargetMode="External" /><Relationship Type="http://schemas.openxmlformats.org/officeDocument/2006/relationships/hyperlink" Id="rId136" Target="https://doi.org/10.1016/j.injury.2019.10.084" TargetMode="External" /><Relationship Type="http://schemas.openxmlformats.org/officeDocument/2006/relationships/hyperlink" Id="rId171" Target="https://doi.org/10.1016/j.injury.2024.111492" TargetMode="External" /><Relationship Type="http://schemas.openxmlformats.org/officeDocument/2006/relationships/hyperlink" Id="rId183" Target="https://doi.org/10.1016/j.jval.2021.11.1370" TargetMode="External" /><Relationship Type="http://schemas.openxmlformats.org/officeDocument/2006/relationships/hyperlink" Id="rId150" Target="https://doi.org/10.1016/j.resuscitation.2010.10.005" TargetMode="External" /><Relationship Type="http://schemas.openxmlformats.org/officeDocument/2006/relationships/hyperlink" Id="rId140" Target="https://doi.org/10.1016/s0002-9610(88)80150-8" TargetMode="External" /><Relationship Type="http://schemas.openxmlformats.org/officeDocument/2006/relationships/hyperlink" Id="rId195" Target="https://doi.org/10.1016/s0140-6736(16)30932-1" TargetMode="External" /><Relationship Type="http://schemas.openxmlformats.org/officeDocument/2006/relationships/hyperlink" Id="rId147" Target="https://doi.org/10.1017/s1049023x00006282" TargetMode="External" /><Relationship Type="http://schemas.openxmlformats.org/officeDocument/2006/relationships/hyperlink" Id="rId143" Target="https://doi.org/10.1097/00005373-199306000-00022" TargetMode="External" /><Relationship Type="http://schemas.openxmlformats.org/officeDocument/2006/relationships/hyperlink" Id="rId175" Target="https://doi.org/10.1097/00005373-199901000-00013" TargetMode="External" /><Relationship Type="http://schemas.openxmlformats.org/officeDocument/2006/relationships/hyperlink" Id="rId179" Target="https://doi.org/10.1097/MLR.0000000000001664" TargetMode="External" /><Relationship Type="http://schemas.openxmlformats.org/officeDocument/2006/relationships/hyperlink" Id="rId154" Target="https://doi.org/10.1097/ta.0b013e31829880a0" TargetMode="External" /><Relationship Type="http://schemas.openxmlformats.org/officeDocument/2006/relationships/hyperlink" Id="rId185" Target="https://doi.org/10.1101/2024.02.20.24302971" TargetMode="External" /><Relationship Type="http://schemas.openxmlformats.org/officeDocument/2006/relationships/hyperlink" Id="rId177" Target="https://doi.org/10.1136/bmjopen-2021-057504" TargetMode="External" /><Relationship Type="http://schemas.openxmlformats.org/officeDocument/2006/relationships/hyperlink" Id="rId197" Target="https://doi.org/10.1177/0962280215588242" TargetMode="External" /><Relationship Type="http://schemas.openxmlformats.org/officeDocument/2006/relationships/hyperlink" Id="rId161" Target="https://doi.org/10.1177/1460408616672491" TargetMode="External" /><Relationship Type="http://schemas.openxmlformats.org/officeDocument/2006/relationships/hyperlink" Id="rId189" Target="https://doi.org/10.1186/1471-2288-14-41" TargetMode="External" /><Relationship Type="http://schemas.openxmlformats.org/officeDocument/2006/relationships/hyperlink" Id="rId163" Target="https://doi.org/10.1186/s12245-024-00713-2" TargetMode="External" /><Relationship Type="http://schemas.openxmlformats.org/officeDocument/2006/relationships/hyperlink" Id="rId193" Target="https://doi.org/10.3310/hta17100" TargetMode="External" /><Relationship Type="http://schemas.openxmlformats.org/officeDocument/2006/relationships/hyperlink" Id="rId158" Target="https://doi.org/10.5505/tjtes.2015.19540" TargetMode="External" /><Relationship Type="http://schemas.openxmlformats.org/officeDocument/2006/relationships/hyperlink" Id="rId191" Target="https://doi.org/10.6084/m9.figshare.29615177" TargetMode="External" /><Relationship Type="http://schemas.openxmlformats.org/officeDocument/2006/relationships/hyperlink" Id="rId169" Target="https://doi.org/10.7454/nrjs.v8i2.1152" TargetMode="External" /><Relationship Type="http://schemas.openxmlformats.org/officeDocument/2006/relationships/hyperlink" Id="rId165"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7"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30" Target="" TargetMode="External" /><Relationship Type="http://schemas.openxmlformats.org/officeDocument/2006/relationships/hyperlink" Id="rId181" Target="https://CRAN.R-project.org/package=icdpicr" TargetMode="External" /><Relationship Type="http://schemas.openxmlformats.org/officeDocument/2006/relationships/hyperlink" Id="rId134" Target="https://doi.org/10.1002/14651858.cd004173.pub4" TargetMode="External" /><Relationship Type="http://schemas.openxmlformats.org/officeDocument/2006/relationships/hyperlink" Id="rId132"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67" Target="https://doi.org/10.1007/s00268-021-06065-9" TargetMode="External" /><Relationship Type="http://schemas.openxmlformats.org/officeDocument/2006/relationships/hyperlink" Id="rId173" Target="https://doi.org/10.1007/s002689900171" TargetMode="External" /><Relationship Type="http://schemas.openxmlformats.org/officeDocument/2006/relationships/hyperlink" Id="rId145" Target="https://doi.org/10.1016/j.ajem.2004.08.013" TargetMode="External" /><Relationship Type="http://schemas.openxmlformats.org/officeDocument/2006/relationships/hyperlink" Id="rId152" Target="https://doi.org/10.1016/j.ijsu.2010.09.009" TargetMode="External" /><Relationship Type="http://schemas.openxmlformats.org/officeDocument/2006/relationships/hyperlink" Id="rId136" Target="https://doi.org/10.1016/j.injury.2019.10.084" TargetMode="External" /><Relationship Type="http://schemas.openxmlformats.org/officeDocument/2006/relationships/hyperlink" Id="rId171" Target="https://doi.org/10.1016/j.injury.2024.111492" TargetMode="External" /><Relationship Type="http://schemas.openxmlformats.org/officeDocument/2006/relationships/hyperlink" Id="rId183" Target="https://doi.org/10.1016/j.jval.2021.11.1370" TargetMode="External" /><Relationship Type="http://schemas.openxmlformats.org/officeDocument/2006/relationships/hyperlink" Id="rId150" Target="https://doi.org/10.1016/j.resuscitation.2010.10.005" TargetMode="External" /><Relationship Type="http://schemas.openxmlformats.org/officeDocument/2006/relationships/hyperlink" Id="rId140" Target="https://doi.org/10.1016/s0002-9610(88)80150-8" TargetMode="External" /><Relationship Type="http://schemas.openxmlformats.org/officeDocument/2006/relationships/hyperlink" Id="rId195" Target="https://doi.org/10.1016/s0140-6736(16)30932-1" TargetMode="External" /><Relationship Type="http://schemas.openxmlformats.org/officeDocument/2006/relationships/hyperlink" Id="rId147" Target="https://doi.org/10.1017/s1049023x00006282" TargetMode="External" /><Relationship Type="http://schemas.openxmlformats.org/officeDocument/2006/relationships/hyperlink" Id="rId143" Target="https://doi.org/10.1097/00005373-199306000-00022" TargetMode="External" /><Relationship Type="http://schemas.openxmlformats.org/officeDocument/2006/relationships/hyperlink" Id="rId175" Target="https://doi.org/10.1097/00005373-199901000-00013" TargetMode="External" /><Relationship Type="http://schemas.openxmlformats.org/officeDocument/2006/relationships/hyperlink" Id="rId179" Target="https://doi.org/10.1097/MLR.0000000000001664" TargetMode="External" /><Relationship Type="http://schemas.openxmlformats.org/officeDocument/2006/relationships/hyperlink" Id="rId154" Target="https://doi.org/10.1097/ta.0b013e31829880a0" TargetMode="External" /><Relationship Type="http://schemas.openxmlformats.org/officeDocument/2006/relationships/hyperlink" Id="rId185" Target="https://doi.org/10.1101/2024.02.20.24302971" TargetMode="External" /><Relationship Type="http://schemas.openxmlformats.org/officeDocument/2006/relationships/hyperlink" Id="rId177" Target="https://doi.org/10.1136/bmjopen-2021-057504" TargetMode="External" /><Relationship Type="http://schemas.openxmlformats.org/officeDocument/2006/relationships/hyperlink" Id="rId197" Target="https://doi.org/10.1177/0962280215588242" TargetMode="External" /><Relationship Type="http://schemas.openxmlformats.org/officeDocument/2006/relationships/hyperlink" Id="rId161" Target="https://doi.org/10.1177/1460408616672491" TargetMode="External" /><Relationship Type="http://schemas.openxmlformats.org/officeDocument/2006/relationships/hyperlink" Id="rId189" Target="https://doi.org/10.1186/1471-2288-14-41" TargetMode="External" /><Relationship Type="http://schemas.openxmlformats.org/officeDocument/2006/relationships/hyperlink" Id="rId163" Target="https://doi.org/10.1186/s12245-024-00713-2" TargetMode="External" /><Relationship Type="http://schemas.openxmlformats.org/officeDocument/2006/relationships/hyperlink" Id="rId193" Target="https://doi.org/10.3310/hta17100" TargetMode="External" /><Relationship Type="http://schemas.openxmlformats.org/officeDocument/2006/relationships/hyperlink" Id="rId158" Target="https://doi.org/10.5505/tjtes.2015.19540" TargetMode="External" /><Relationship Type="http://schemas.openxmlformats.org/officeDocument/2006/relationships/hyperlink" Id="rId191" Target="https://doi.org/10.6084/m9.figshare.29615177" TargetMode="External" /><Relationship Type="http://schemas.openxmlformats.org/officeDocument/2006/relationships/hyperlink" Id="rId169" Target="https://doi.org/10.7454/nrjs.v8i2.1152" TargetMode="External" /><Relationship Type="http://schemas.openxmlformats.org/officeDocument/2006/relationships/hyperlink" Id="rId165"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7"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dcterms:created xsi:type="dcterms:W3CDTF">2025-07-23T04:07:20Z</dcterms:created>
  <dcterms:modified xsi:type="dcterms:W3CDTF">2025-07-23T04:07:20Z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