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Rubrik"/>
      </w:pPr>
      <w:r>
        <w:t xml:space="preserve">A Pilot Multicenter Cluster Randomized Trial to Compare </w:t>
      </w:r>
      <w:proofErr w:type="gramStart"/>
      <w:r>
        <w:t>The</w:t>
      </w:r>
      <w:proofErr w:type="gramEnd"/>
      <w:r>
        <w:t xml:space="preserve"> Effect of Trauma Life Support Training Programs on Patient and </w:t>
      </w:r>
      <w:commentRangeStart w:id="0"/>
      <w:r>
        <w:t>Provider</w:t>
      </w:r>
      <w:commentRangeEnd w:id="0"/>
      <w:r w:rsidR="00CE3161">
        <w:rPr>
          <w:rStyle w:val="Kommentarsreferens"/>
          <w:rFonts w:asciiTheme="minorHAnsi" w:eastAsiaTheme="minorHAnsi" w:hAnsiTheme="minorHAnsi" w:cstheme="minorBidi"/>
          <w:b w:val="0"/>
          <w:bCs w:val="0"/>
          <w:color w:val="auto"/>
        </w:rPr>
        <w:commentReference w:id="0"/>
      </w:r>
      <w:r>
        <w:t xml:space="preserve">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Rubrik2"/>
      </w:pPr>
      <w:bookmarkStart w:id="1"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Rubrik2"/>
      </w:pPr>
      <w:bookmarkStart w:id="2" w:name="keywords"/>
      <w:bookmarkEnd w:id="1"/>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Rubrik2"/>
      </w:pPr>
      <w:bookmarkStart w:id="3" w:name="role-of-study-sponsor-and-funders"/>
      <w:bookmarkEnd w:id="2"/>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Rubrik1"/>
      </w:pPr>
      <w:bookmarkStart w:id="4" w:name="abstract"/>
      <w:bookmarkEnd w:id="3"/>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Rubrik1"/>
      </w:pPr>
      <w:bookmarkStart w:id="5" w:name="introduction"/>
      <w:bookmarkEnd w:id="4"/>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rd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rd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rd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rd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Rubrik1"/>
      </w:pPr>
      <w:bookmarkStart w:id="6" w:name="methods"/>
      <w:bookmarkEnd w:id="5"/>
      <w:r>
        <w:t>Methods</w:t>
      </w:r>
    </w:p>
    <w:p w14:paraId="16E241CE" w14:textId="77777777" w:rsidR="006E6516" w:rsidRDefault="00000000">
      <w:pPr>
        <w:pStyle w:val="Rubrik2"/>
      </w:pPr>
      <w:bookmarkStart w:id="7"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rd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Rubrik2"/>
      </w:pPr>
      <w:bookmarkStart w:id="8" w:name="study-setting"/>
      <w:bookmarkEnd w:id="7"/>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Rubrik2"/>
      </w:pPr>
      <w:bookmarkStart w:id="9" w:name="X7bf816d15417d72b52f4044ddf6e049cf7720e1"/>
      <w:bookmarkEnd w:id="8"/>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Rubrik3"/>
      </w:pPr>
      <w:bookmarkStart w:id="10"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w:t>
      </w:r>
      <w:commentRangeStart w:id="11"/>
      <w:r>
        <w:t>Y36</w:t>
      </w:r>
      <w:commentRangeEnd w:id="11"/>
      <w:r w:rsidR="00CE3161">
        <w:rPr>
          <w:rStyle w:val="Kommentarsreferens"/>
        </w:rPr>
        <w:commentReference w:id="11"/>
      </w:r>
      <w:r>
        <w:t>,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Rubrik3"/>
      </w:pPr>
      <w:bookmarkStart w:id="12" w:name="resident-doctor-participants"/>
      <w:bookmarkEnd w:id="10"/>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rd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rd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Rubrik3"/>
      </w:pPr>
      <w:bookmarkStart w:id="13" w:name="clusters"/>
      <w:bookmarkEnd w:id="12"/>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Rubrik2"/>
      </w:pPr>
      <w:bookmarkStart w:id="14" w:name="interventions"/>
      <w:bookmarkEnd w:id="9"/>
      <w:bookmarkEnd w:id="13"/>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rd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rdtext"/>
      </w:pPr>
      <w:r>
        <w:t>The control group provided standard care with no intervention.</w:t>
      </w:r>
    </w:p>
    <w:p w14:paraId="231C872F" w14:textId="77777777" w:rsidR="006E6516" w:rsidRDefault="00000000">
      <w:pPr>
        <w:pStyle w:val="Rubrik3"/>
      </w:pPr>
      <w:bookmarkStart w:id="15"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Rubrik3"/>
      </w:pPr>
      <w:bookmarkStart w:id="16" w:name="adherence"/>
      <w:bookmarkEnd w:id="15"/>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Rubrik3"/>
      </w:pPr>
      <w:bookmarkStart w:id="17" w:name="standard-care"/>
      <w:bookmarkEnd w:id="16"/>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Rubrik2"/>
      </w:pPr>
      <w:bookmarkStart w:id="18" w:name="outcomes"/>
      <w:bookmarkEnd w:id="14"/>
      <w:bookmarkEnd w:id="17"/>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rdtext"/>
      </w:pPr>
      <w:r>
        <w:t xml:space="preserve">The primary participant </w:t>
      </w:r>
      <w:commentRangeStart w:id="19"/>
      <w:r>
        <w:t>outcome</w:t>
      </w:r>
      <w:commentRangeEnd w:id="19"/>
      <w:r w:rsidR="00CE3161">
        <w:rPr>
          <w:rStyle w:val="Kommentarsreferens"/>
        </w:rPr>
        <w:commentReference w:id="19"/>
      </w:r>
      <w:r>
        <w:t xml:space="preserve"> was all cause mortality within 30 </w:t>
      </w:r>
      <w:commentRangeStart w:id="20"/>
      <w:r>
        <w:t>days</w:t>
      </w:r>
      <w:commentRangeEnd w:id="20"/>
      <w:r w:rsidR="003B521D">
        <w:rPr>
          <w:rStyle w:val="Kommentarsreferens"/>
        </w:rPr>
        <w:commentReference w:id="20"/>
      </w:r>
      <w:r>
        <w:t xml:space="preserve">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rd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Rubrik2"/>
      </w:pPr>
      <w:bookmarkStart w:id="21" w:name="participant-timeline"/>
      <w:bookmarkEnd w:id="18"/>
      <w:r>
        <w:t>Participant Timeline</w:t>
      </w:r>
    </w:p>
    <w:p w14:paraId="43DC7018" w14:textId="77777777" w:rsidR="006E6516" w:rsidRDefault="00000000">
      <w:pPr>
        <w:pStyle w:val="Rubrik3"/>
      </w:pPr>
      <w:bookmarkStart w:id="22" w:name="patients"/>
      <w:r>
        <w:t>Patients</w:t>
      </w:r>
    </w:p>
    <w:p w14:paraId="7AC514C5" w14:textId="77777777" w:rsidR="006E6516" w:rsidRDefault="00000000">
      <w:pPr>
        <w:pStyle w:val="FirstParagraph"/>
      </w:pPr>
      <w:r>
        <w:t>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at 24 hours after arrival at the emergency department, and at 30 days after arrival at the emergency department.</w:t>
      </w:r>
    </w:p>
    <w:p w14:paraId="75BAB16A" w14:textId="77777777" w:rsidR="006E6516" w:rsidRDefault="00000000">
      <w:pPr>
        <w:pStyle w:val="Rubrik3"/>
      </w:pPr>
      <w:bookmarkStart w:id="23" w:name="residents"/>
      <w:bookmarkEnd w:id="22"/>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Rubrik2"/>
      </w:pPr>
      <w:bookmarkStart w:id="24" w:name="sample-size"/>
      <w:bookmarkEnd w:id="21"/>
      <w:bookmarkEnd w:id="23"/>
      <w:r>
        <w:t>Sample size</w:t>
      </w:r>
    </w:p>
    <w:p w14:paraId="69F5226B" w14:textId="77777777" w:rsidR="006E6516" w:rsidRDefault="00000000">
      <w:pPr>
        <w:pStyle w:val="FirstParagraph"/>
      </w:pPr>
      <w:r>
        <w:t xml:space="preserve">Given budget and time constraints, including the rotation of units in the emergency departments in Indian hospitals (which often happen on a six months basis) the feasible data collection period was four months. We assumed that each of the units </w:t>
      </w:r>
      <w:commentRangeStart w:id="25"/>
      <w:r>
        <w:t>saw</w:t>
      </w:r>
      <w:commentRangeEnd w:id="25"/>
      <w:r w:rsidR="00CE3161">
        <w:rPr>
          <w:rStyle w:val="Kommentarsreferens"/>
        </w:rPr>
        <w:commentReference w:id="25"/>
      </w:r>
      <w:r>
        <w:t xml:space="preserve">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Rubrik2"/>
      </w:pPr>
      <w:bookmarkStart w:id="26" w:name="recruitment"/>
      <w:bookmarkEnd w:id="24"/>
      <w:r>
        <w:t>Recruitment</w:t>
      </w:r>
    </w:p>
    <w:p w14:paraId="49D4CBFE" w14:textId="77777777" w:rsidR="006E6516" w:rsidRDefault="00000000">
      <w:pPr>
        <w:pStyle w:val="FirstParagraph"/>
      </w:pPr>
      <w:r>
        <w:t>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3A2B1A9" w14:textId="77777777" w:rsidR="006E6516" w:rsidRDefault="00000000">
      <w:pPr>
        <w:pStyle w:val="Rubrik2"/>
      </w:pPr>
      <w:bookmarkStart w:id="27" w:name="allocation"/>
      <w:bookmarkEnd w:id="26"/>
      <w:r>
        <w:t>Allocation</w:t>
      </w:r>
    </w:p>
    <w:p w14:paraId="13864078" w14:textId="77777777" w:rsidR="006E6516" w:rsidRDefault="00000000">
      <w:pPr>
        <w:pStyle w:val="Rubrik3"/>
      </w:pPr>
      <w:bookmarkStart w:id="28"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Rubrik3"/>
      </w:pPr>
      <w:bookmarkStart w:id="29" w:name="concealment-mechanism"/>
      <w:bookmarkEnd w:id="28"/>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Rubrik3"/>
      </w:pPr>
      <w:bookmarkStart w:id="30" w:name="implementation"/>
      <w:bookmarkEnd w:id="29"/>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Rubrik2"/>
      </w:pPr>
      <w:bookmarkStart w:id="31" w:name="blinding"/>
      <w:bookmarkEnd w:id="27"/>
      <w:bookmarkEnd w:id="30"/>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Rubrik2"/>
      </w:pPr>
      <w:bookmarkStart w:id="32" w:name="data-collection"/>
      <w:bookmarkEnd w:id="31"/>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rd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rd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rd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rd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Rubrik2"/>
      </w:pPr>
      <w:bookmarkStart w:id="33" w:name="variables"/>
      <w:bookmarkEnd w:id="32"/>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Rubrik2"/>
      </w:pPr>
      <w:bookmarkStart w:id="34" w:name="patient-and-public-involvement"/>
      <w:bookmarkEnd w:id="33"/>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Rubrik2"/>
      </w:pPr>
      <w:bookmarkStart w:id="35" w:name="data-management"/>
      <w:bookmarkEnd w:id="34"/>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Rubrik2"/>
      </w:pPr>
      <w:bookmarkStart w:id="36" w:name="data-monitoring"/>
      <w:bookmarkEnd w:id="35"/>
      <w:r>
        <w:t>Data monitoring</w:t>
      </w:r>
    </w:p>
    <w:p w14:paraId="71A78F19" w14:textId="77777777" w:rsidR="006E6516" w:rsidRDefault="00000000">
      <w:pPr>
        <w:pStyle w:val="FirstParagraph"/>
      </w:pPr>
      <w:r>
        <w:t>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Rubrik2"/>
      </w:pPr>
      <w:bookmarkStart w:id="37" w:name="statistical-methods"/>
      <w:bookmarkEnd w:id="36"/>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rdtext"/>
      </w:pPr>
      <w:r>
        <w:t xml:space="preserve">We compared participant </w:t>
      </w:r>
      <w:commentRangeStart w:id="38"/>
      <w:r>
        <w:t>outcomes</w:t>
      </w:r>
      <w:commentRangeEnd w:id="38"/>
      <w:r w:rsidR="00CE3161">
        <w:rPr>
          <w:rStyle w:val="Kommentarsreferens"/>
        </w:rPr>
        <w:commentReference w:id="38"/>
      </w:r>
      <w:r>
        <w:t xml:space="preserve">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rd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rd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Rubrik2"/>
      </w:pPr>
      <w:bookmarkStart w:id="39" w:name="ethics-and-dissemination"/>
      <w:bookmarkEnd w:id="37"/>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rd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rd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Rubrik1"/>
      </w:pPr>
      <w:bookmarkStart w:id="40" w:name="results"/>
      <w:bookmarkEnd w:id="6"/>
      <w:bookmarkEnd w:id="39"/>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w:t>
      </w:r>
      <w:commentRangeStart w:id="41"/>
      <w:r>
        <w:t>130</w:t>
      </w:r>
      <w:commentRangeEnd w:id="41"/>
      <w:r w:rsidR="00CE3161">
        <w:rPr>
          <w:rStyle w:val="Kommentarsreferens"/>
        </w:rPr>
        <w:commentReference w:id="41"/>
      </w:r>
      <w:r>
        <w:t xml:space="preserve"> patients, and the standard care arm 202 patients. We trained a total of 21 residents, 6 in ATLS</w:t>
      </w:r>
      <w:r>
        <w:rPr>
          <w:vertAlign w:val="superscript"/>
        </w:rPr>
        <w:t>®</w:t>
      </w:r>
      <w:r>
        <w:t>, and 15 in PTC.</w:t>
      </w:r>
    </w:p>
    <w:p w14:paraId="1D9EA27B" w14:textId="77777777" w:rsidR="006E6516" w:rsidRDefault="00000000">
      <w:pPr>
        <w:pStyle w:val="Brdtext"/>
      </w:pPr>
      <w:r>
        <w:t xml:space="preserve">The study flow diagram is shown in Figure 1 and patient sample characteristics across trial arms are shown in Table 1. Overall, the number of females were 86 (23%), the median (IQR) age was 33 (24, 46) years, and the median ISS (IQR) was 1 (0, </w:t>
      </w:r>
      <w:commentRangeStart w:id="42"/>
      <w:r>
        <w:t>4</w:t>
      </w:r>
      <w:commentRangeEnd w:id="42"/>
      <w:r w:rsidR="003B521D">
        <w:rPr>
          <w:rStyle w:val="Kommentarsreferens"/>
        </w:rPr>
        <w:commentReference w:id="42"/>
      </w:r>
      <w:r>
        <w:t>).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43" w:name="fig:flow-diagram"/>
      <w:bookmarkEnd w:id="43"/>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Table 1: Patient sample characteristics</w:t>
      </w:r>
    </w:p>
    <w:tbl>
      <w:tblPr>
        <w:tblStyle w:val="Table"/>
        <w:tblW w:w="5031" w:type="pct"/>
        <w:tblInd w:w="108" w:type="dxa"/>
        <w:tblLook w:val="0020" w:firstRow="1" w:lastRow="0" w:firstColumn="0" w:lastColumn="0" w:noHBand="0" w:noVBand="0"/>
        <w:tblCaption w:val="Table 1: Patient sample characteristics"/>
      </w:tblPr>
      <w:tblGrid>
        <w:gridCol w:w="1462"/>
        <w:gridCol w:w="813"/>
        <w:gridCol w:w="856"/>
        <w:gridCol w:w="1001"/>
        <w:gridCol w:w="892"/>
        <w:gridCol w:w="813"/>
        <w:gridCol w:w="813"/>
        <w:gridCol w:w="1012"/>
        <w:gridCol w:w="892"/>
        <w:gridCol w:w="864"/>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r w:rsidRPr="003E55D6">
              <w:rPr>
                <w:sz w:val="16"/>
                <w:szCs w:val="16"/>
              </w:rPr>
              <w:t>Missing</w:t>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commentRangeStart w:id="44"/>
            <w:r w:rsidRPr="003E55D6">
              <w:rPr>
                <w:sz w:val="16"/>
                <w:szCs w:val="16"/>
              </w:rPr>
              <w:t>13</w:t>
            </w:r>
            <w:commentRangeEnd w:id="44"/>
            <w:r w:rsidR="003B521D">
              <w:rPr>
                <w:rStyle w:val="Kommentarsreferens"/>
              </w:rPr>
              <w:commentReference w:id="44"/>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Rubrik2"/>
      </w:pPr>
      <w:bookmarkStart w:id="45" w:name="patient-participant-outcomes"/>
      <w:r>
        <w:lastRenderedPageBreak/>
        <w:t>Patient Participant Outcomes</w:t>
      </w:r>
    </w:p>
    <w:p w14:paraId="449FE632" w14:textId="77777777" w:rsidR="006E6516" w:rsidRDefault="00000000">
      <w:pPr>
        <w:pStyle w:val="FirstParagraph"/>
      </w:pPr>
      <w:r>
        <w:t>After training, a total of 22 (16%) patients in the standard care arm had the primary outcome, compared to 1 (3.8%) patients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(95% CI) in the standard care arm was 6.15 (2.62, 10.91), in the ATLS</w:t>
      </w:r>
      <w:r>
        <w:rPr>
          <w:vertAlign w:val="superscript"/>
        </w:rPr>
        <w:t>®</w:t>
      </w:r>
      <w:r>
        <w:t xml:space="preserve"> arm , and in the PTC arm 0.49 (0, 2.31).</w:t>
      </w:r>
    </w:p>
    <w:p w14:paraId="454ED31F" w14:textId="77777777" w:rsidR="006E6516" w:rsidRDefault="00000000">
      <w:pPr>
        <w:pStyle w:val="Brd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Rubrik2"/>
      </w:pPr>
      <w:bookmarkStart w:id="46" w:name="resident-participant-outcomes"/>
      <w:bookmarkEnd w:id="45"/>
      <w:r>
        <w:t>Resident Participant Outcomes</w:t>
      </w:r>
    </w:p>
    <w:p w14:paraId="1304A437" w14:textId="77777777" w:rsidR="006E6516" w:rsidRDefault="00000000">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Rubrik2"/>
      </w:pPr>
      <w:bookmarkStart w:id="47" w:name="feasibility-outcomes"/>
      <w:bookmarkEnd w:id="46"/>
      <w:r>
        <w:t>Feasibility Outcomes</w:t>
      </w:r>
    </w:p>
    <w:p w14:paraId="46975B66" w14:textId="77777777" w:rsidR="006E6516" w:rsidRDefault="00000000">
      <w:pPr>
        <w:pStyle w:val="FirstParagraph"/>
      </w:pPr>
      <w:r>
        <w:t xml:space="preserve">. Out of 21 potentially eligible residents, 21 (100%) participated in the study. The lost to follow up rate was </w:t>
      </w:r>
      <w:commentRangeStart w:id="48"/>
      <w:r>
        <w:t>14</w:t>
      </w:r>
      <w:commentRangeEnd w:id="48"/>
      <w:r w:rsidR="003B521D">
        <w:rPr>
          <w:rStyle w:val="Kommentarsreferens"/>
        </w:rPr>
        <w:commentReference w:id="48"/>
      </w:r>
      <w:r>
        <w:t>,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49" w:name="tab:observed-vs-retrospective"/>
      <w:bookmarkEnd w:id="49"/>
      <w:r>
        <w:br w:type="page"/>
      </w:r>
    </w:p>
    <w:p w14:paraId="30CC77A0" w14:textId="055AE6FE" w:rsidR="006E6516" w:rsidRDefault="00000000">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Grid>
        <w:gridCol w:w="4080"/>
        <w:gridCol w:w="2818"/>
        <w:gridCol w:w="2462"/>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Rubrik1"/>
      </w:pPr>
      <w:bookmarkStart w:id="50" w:name="discussion"/>
      <w:bookmarkEnd w:id="40"/>
      <w:bookmarkEnd w:id="47"/>
      <w:r>
        <w:t>Discussion</w:t>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rd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rd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rd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rd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rd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rd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Rubrik1"/>
      </w:pPr>
      <w:bookmarkStart w:id="51" w:name="contributorship-statement"/>
      <w:bookmarkEnd w:id="50"/>
      <w:r>
        <w:t>Contributorship statement</w:t>
      </w:r>
    </w:p>
    <w:p w14:paraId="5983DC35" w14:textId="77777777" w:rsidR="006E6516" w:rsidRDefault="00000000">
      <w:pPr>
        <w:pStyle w:val="Rubrik1"/>
      </w:pPr>
      <w:bookmarkStart w:id="52" w:name="competing-interests"/>
      <w:bookmarkEnd w:id="51"/>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Rubrik1"/>
      </w:pPr>
      <w:bookmarkStart w:id="53" w:name="funding"/>
      <w:bookmarkEnd w:id="52"/>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Rubrik1"/>
      </w:pPr>
      <w:bookmarkStart w:id="54" w:name="data-sharing-statement"/>
      <w:bookmarkEnd w:id="53"/>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Rubrik1"/>
      </w:pPr>
      <w:bookmarkStart w:id="55" w:name="protocol-deviations"/>
      <w:bookmarkEnd w:id="54"/>
      <w:r>
        <w:t>Protocol Deviations</w:t>
      </w:r>
    </w:p>
    <w:p w14:paraId="3BE01700" w14:textId="77777777" w:rsidR="006E6516" w:rsidRDefault="00000000">
      <w:pPr>
        <w:pStyle w:val="Rubrik2"/>
      </w:pPr>
      <w:bookmarkStart w:id="56"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Rubrik2"/>
      </w:pPr>
      <w:bookmarkStart w:id="57" w:name="outcomes-across-subgroups"/>
      <w:bookmarkEnd w:id="56"/>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Rubrik2"/>
      </w:pPr>
      <w:bookmarkStart w:id="58" w:name="number-of-participating-centres"/>
      <w:bookmarkEnd w:id="57"/>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Rubrik2"/>
      </w:pPr>
      <w:bookmarkStart w:id="59" w:name="resident-participants"/>
      <w:bookmarkEnd w:id="58"/>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Rubrik2"/>
      </w:pPr>
      <w:bookmarkStart w:id="60" w:name="periodic-suverys-to-residents"/>
      <w:bookmarkEnd w:id="59"/>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Rubrik2"/>
      </w:pPr>
      <w:bookmarkStart w:id="61" w:name="follow-up-of-residents"/>
      <w:bookmarkEnd w:id="60"/>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Rubrik2"/>
      </w:pPr>
      <w:bookmarkStart w:id="62" w:name="data-collection-from-records"/>
      <w:bookmarkEnd w:id="61"/>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Rubrik2"/>
      </w:pPr>
      <w:bookmarkStart w:id="63" w:name="selection-of-units-for-training"/>
      <w:bookmarkEnd w:id="62"/>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Rubrik2"/>
      </w:pPr>
      <w:bookmarkStart w:id="64" w:name="timing-of-resident-consent"/>
      <w:bookmarkEnd w:id="63"/>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Rubrik1"/>
      </w:pPr>
      <w:bookmarkStart w:id="65" w:name="supplementary-material"/>
      <w:bookmarkEnd w:id="55"/>
      <w:bookmarkEnd w:id="64"/>
      <w:r>
        <w:lastRenderedPageBreak/>
        <w:t>Supplementary material</w:t>
      </w:r>
    </w:p>
    <w:p w14:paraId="2950A175" w14:textId="77777777" w:rsidR="006E6516" w:rsidRDefault="00000000">
      <w:pPr>
        <w:pStyle w:val="Rubrik1"/>
      </w:pPr>
      <w:bookmarkStart w:id="66" w:name="references"/>
      <w:bookmarkEnd w:id="65"/>
      <w:r>
        <w:t>References</w:t>
      </w:r>
    </w:p>
    <w:p w14:paraId="154EBB75" w14:textId="77777777" w:rsidR="006E6516" w:rsidRDefault="00000000">
      <w:pPr>
        <w:pStyle w:val="Litteraturfrteckning"/>
      </w:pPr>
      <w:bookmarkStart w:id="67" w:name="ref-injuries2020"/>
      <w:bookmarkStart w:id="68" w:name="refs"/>
      <w:r>
        <w:t xml:space="preserve">1. </w:t>
      </w:r>
      <w:r>
        <w:tab/>
        <w:t xml:space="preserve">GBD 2019 Diseases and Injuries Collaborators. </w:t>
      </w:r>
      <w:hyperlink>
        <w:r>
          <w:rPr>
            <w:rStyle w:val="Hyperl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Litteraturfrteckning"/>
      </w:pPr>
      <w:bookmarkStart w:id="69" w:name="ref-Vos2020"/>
      <w:bookmarkEnd w:id="67"/>
      <w:r>
        <w:t xml:space="preserve">2. </w:t>
      </w:r>
      <w:r>
        <w:tab/>
        <w:t xml:space="preserve">Vos, T. </w:t>
      </w:r>
      <w:r>
        <w:rPr>
          <w:i/>
          <w:iCs/>
        </w:rPr>
        <w:t>et al.</w:t>
      </w:r>
      <w:r>
        <w:t xml:space="preserve"> </w:t>
      </w:r>
      <w:hyperlink r:id="rId12">
        <w:r>
          <w:rPr>
            <w:rStyle w:val="Hyperl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Litteraturfrteckning"/>
      </w:pPr>
      <w:bookmarkStart w:id="70" w:name="ref-Mohammad2013"/>
      <w:bookmarkEnd w:id="69"/>
      <w:r>
        <w:t xml:space="preserve">3. </w:t>
      </w:r>
      <w:r>
        <w:tab/>
        <w:t xml:space="preserve">Mohammad, A. </w:t>
      </w:r>
      <w:r>
        <w:rPr>
          <w:i/>
          <w:iCs/>
        </w:rPr>
        <w:t>et al.</w:t>
      </w:r>
      <w:r>
        <w:t xml:space="preserve"> </w:t>
      </w:r>
      <w:hyperlink r:id="rId13">
        <w:r>
          <w:rPr>
            <w:rStyle w:val="Hyperl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Litteraturfrteckning"/>
      </w:pPr>
      <w:bookmarkStart w:id="71" w:name="ref-Jayaraman2014"/>
      <w:bookmarkEnd w:id="70"/>
      <w:r>
        <w:t xml:space="preserve">4. </w:t>
      </w:r>
      <w:r>
        <w:tab/>
        <w:t xml:space="preserve">Jayaraman, S. </w:t>
      </w:r>
      <w:r>
        <w:rPr>
          <w:i/>
          <w:iCs/>
        </w:rPr>
        <w:t>et al.</w:t>
      </w:r>
      <w:r>
        <w:t xml:space="preserve"> </w:t>
      </w:r>
      <w:hyperlink r:id="rId14">
        <w:r>
          <w:rPr>
            <w:rStyle w:val="Hyperl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Litteraturfrteckning"/>
      </w:pPr>
      <w:bookmarkStart w:id="72" w:name="ref-Kadhum2020"/>
      <w:bookmarkEnd w:id="71"/>
      <w:r>
        <w:t xml:space="preserve">5. </w:t>
      </w:r>
      <w:r>
        <w:tab/>
        <w:t xml:space="preserve">Kadhum, M. </w:t>
      </w:r>
      <w:r>
        <w:rPr>
          <w:i/>
          <w:iCs/>
        </w:rPr>
        <w:t>et al.</w:t>
      </w:r>
      <w:r>
        <w:t xml:space="preserve"> </w:t>
      </w:r>
      <w:hyperlink r:id="rId15">
        <w:r>
          <w:rPr>
            <w:rStyle w:val="Hyperl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Litteraturfrteckning"/>
      </w:pPr>
      <w:bookmarkStart w:id="73" w:name="ref-acsAtls2018"/>
      <w:bookmarkEnd w:id="72"/>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Litteraturfrteckning"/>
      </w:pPr>
      <w:bookmarkStart w:id="74" w:name="ref-ptcfPtc2018"/>
      <w:bookmarkEnd w:id="73"/>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Litteraturfrteckning"/>
      </w:pPr>
      <w:bookmarkStart w:id="75" w:name="ref-Jin2021"/>
      <w:bookmarkEnd w:id="74"/>
      <w:r>
        <w:t xml:space="preserve">8. </w:t>
      </w:r>
      <w:r>
        <w:tab/>
        <w:t xml:space="preserve">Jin, J. </w:t>
      </w:r>
      <w:r>
        <w:rPr>
          <w:i/>
          <w:iCs/>
        </w:rPr>
        <w:t>et al.</w:t>
      </w:r>
      <w:r>
        <w:t xml:space="preserve"> </w:t>
      </w:r>
      <w:hyperlink r:id="rId16">
        <w:r>
          <w:rPr>
            <w:rStyle w:val="Hyperl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Litteraturfrteckning"/>
      </w:pPr>
      <w:bookmarkStart w:id="76" w:name="ref-Hemming2017"/>
      <w:bookmarkEnd w:id="75"/>
      <w:r>
        <w:t xml:space="preserve">9. </w:t>
      </w:r>
      <w:r>
        <w:tab/>
        <w:t xml:space="preserve">Hemming, K. </w:t>
      </w:r>
      <w:r>
        <w:rPr>
          <w:i/>
          <w:iCs/>
        </w:rPr>
        <w:t>et al.</w:t>
      </w:r>
      <w:r>
        <w:t xml:space="preserve"> </w:t>
      </w:r>
      <w:hyperlink r:id="rId17">
        <w:r>
          <w:rPr>
            <w:rStyle w:val="Hyperlnk"/>
          </w:rPr>
          <w:t>How to design efficient cluster randomised trials</w:t>
        </w:r>
      </w:hyperlink>
      <w:r>
        <w:t xml:space="preserve">. </w:t>
      </w:r>
      <w:r>
        <w:rPr>
          <w:i/>
          <w:iCs/>
        </w:rPr>
        <w:t>BMJ</w:t>
      </w:r>
      <w:r>
        <w:t xml:space="preserve"> j3064 (2017).</w:t>
      </w:r>
    </w:p>
    <w:p w14:paraId="04C20AED" w14:textId="77777777" w:rsidR="006E6516" w:rsidRDefault="00000000">
      <w:pPr>
        <w:pStyle w:val="Litteraturfrteckning"/>
      </w:pPr>
      <w:bookmarkStart w:id="77" w:name="ref-Hornor2018"/>
      <w:bookmarkEnd w:id="76"/>
      <w:r>
        <w:t xml:space="preserve">10. </w:t>
      </w:r>
      <w:r>
        <w:tab/>
        <w:t xml:space="preserve">Hornor, M. A. </w:t>
      </w:r>
      <w:r>
        <w:rPr>
          <w:i/>
          <w:iCs/>
        </w:rPr>
        <w:t>et al.</w:t>
      </w:r>
      <w:r>
        <w:t xml:space="preserve"> </w:t>
      </w:r>
      <w:hyperlink r:id="rId18">
        <w:r>
          <w:rPr>
            <w:rStyle w:val="Hyperl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Litteraturfrteckning"/>
      </w:pPr>
      <w:bookmarkStart w:id="78" w:name="ref-Staniszewska2017"/>
      <w:bookmarkEnd w:id="77"/>
      <w:r>
        <w:t xml:space="preserve">11. </w:t>
      </w:r>
      <w:r>
        <w:tab/>
        <w:t xml:space="preserve">Staniszewska, S. </w:t>
      </w:r>
      <w:r>
        <w:rPr>
          <w:i/>
          <w:iCs/>
        </w:rPr>
        <w:t>et al.</w:t>
      </w:r>
      <w:r>
        <w:t xml:space="preserve"> </w:t>
      </w:r>
      <w:hyperlink r:id="rId19">
        <w:r>
          <w:rPr>
            <w:rStyle w:val="Hyperl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Litteraturfrteckning"/>
      </w:pPr>
      <w:bookmarkStart w:id="79" w:name="ref-KoboToolbox"/>
      <w:bookmarkEnd w:id="78"/>
      <w:r>
        <w:t xml:space="preserve">12. </w:t>
      </w:r>
      <w:r>
        <w:tab/>
        <w:t>Kobo. KoboToolbox.</w:t>
      </w:r>
    </w:p>
    <w:p w14:paraId="6B3A6717" w14:textId="77777777" w:rsidR="006E6516" w:rsidRDefault="00000000">
      <w:pPr>
        <w:pStyle w:val="Litteraturfrteckning"/>
      </w:pPr>
      <w:bookmarkStart w:id="80" w:name="ref-Lee2014"/>
      <w:bookmarkEnd w:id="79"/>
      <w:r>
        <w:t xml:space="preserve">13. </w:t>
      </w:r>
      <w:r>
        <w:tab/>
        <w:t xml:space="preserve">Lee, E. C. </w:t>
      </w:r>
      <w:r>
        <w:rPr>
          <w:i/>
          <w:iCs/>
        </w:rPr>
        <w:t>et al.</w:t>
      </w:r>
      <w:r>
        <w:t xml:space="preserve"> </w:t>
      </w:r>
      <w:hyperlink r:id="rId20">
        <w:r>
          <w:rPr>
            <w:rStyle w:val="Hyperl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Litteraturfrteckning"/>
      </w:pPr>
      <w:bookmarkStart w:id="81" w:name="ref-GerdinWärnberg2022"/>
      <w:bookmarkEnd w:id="80"/>
      <w:r>
        <w:t xml:space="preserve">14. </w:t>
      </w:r>
      <w:r>
        <w:tab/>
        <w:t xml:space="preserve">Gerdin Wärnberg, M. </w:t>
      </w:r>
      <w:r>
        <w:rPr>
          <w:i/>
          <w:iCs/>
        </w:rPr>
        <w:t>et al.</w:t>
      </w:r>
      <w:r>
        <w:t xml:space="preserve"> </w:t>
      </w:r>
      <w:hyperlink r:id="rId21">
        <w:r>
          <w:rPr>
            <w:rStyle w:val="Hyperl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Litteraturfrteckning"/>
      </w:pPr>
      <w:bookmarkStart w:id="82" w:name="ref-Roberts2013"/>
      <w:bookmarkEnd w:id="81"/>
      <w:r>
        <w:lastRenderedPageBreak/>
        <w:t xml:space="preserve">15. </w:t>
      </w:r>
      <w:r>
        <w:tab/>
        <w:t xml:space="preserve">Roberts, I. </w:t>
      </w:r>
      <w:r>
        <w:rPr>
          <w:i/>
          <w:iCs/>
        </w:rPr>
        <w:t>et al.</w:t>
      </w:r>
      <w:r>
        <w:t xml:space="preserve"> </w:t>
      </w:r>
      <w:hyperlink r:id="rId22">
        <w:r>
          <w:rPr>
            <w:rStyle w:val="Hyperl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Litteraturfrteckning"/>
      </w:pPr>
      <w:bookmarkStart w:id="83" w:name="ref-Sierink2016"/>
      <w:bookmarkEnd w:id="82"/>
      <w:r>
        <w:t xml:space="preserve">16. </w:t>
      </w:r>
      <w:r>
        <w:tab/>
        <w:t xml:space="preserve">Sierink, J. C. </w:t>
      </w:r>
      <w:r>
        <w:rPr>
          <w:i/>
          <w:iCs/>
        </w:rPr>
        <w:t>et al.</w:t>
      </w:r>
      <w:r>
        <w:t xml:space="preserve"> </w:t>
      </w:r>
      <w:hyperlink r:id="rId23">
        <w:r>
          <w:rPr>
            <w:rStyle w:val="Hyperl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Litteraturfrteckning"/>
      </w:pPr>
      <w:bookmarkStart w:id="84" w:name="ref-Ariyanayagam1992"/>
      <w:bookmarkEnd w:id="83"/>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Litteraturfrteckning"/>
      </w:pPr>
      <w:bookmarkStart w:id="85" w:name="ref-CioèPeña2016"/>
      <w:bookmarkEnd w:id="84"/>
      <w:r>
        <w:t xml:space="preserve">18. </w:t>
      </w:r>
      <w:r>
        <w:tab/>
        <w:t xml:space="preserve">Cioè-Peña, E. </w:t>
      </w:r>
      <w:r>
        <w:rPr>
          <w:i/>
          <w:iCs/>
        </w:rPr>
        <w:t>et al.</w:t>
      </w:r>
      <w:r>
        <w:t xml:space="preserve"> </w:t>
      </w:r>
      <w:hyperlink r:id="rId24">
        <w:r>
          <w:rPr>
            <w:rStyle w:val="Hyperl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Litteraturfrteckning"/>
      </w:pPr>
      <w:bookmarkStart w:id="86" w:name="ref-Petroze2014"/>
      <w:bookmarkEnd w:id="85"/>
      <w:r>
        <w:t xml:space="preserve">19. </w:t>
      </w:r>
      <w:r>
        <w:tab/>
        <w:t xml:space="preserve">Petroze, R. T. </w:t>
      </w:r>
      <w:r>
        <w:rPr>
          <w:i/>
          <w:iCs/>
        </w:rPr>
        <w:t>et al.</w:t>
      </w:r>
      <w:r>
        <w:t xml:space="preserve"> </w:t>
      </w:r>
      <w:hyperlink r:id="rId25">
        <w:r>
          <w:rPr>
            <w:rStyle w:val="Hyperl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Litteraturfrteckning"/>
      </w:pPr>
      <w:bookmarkStart w:id="87" w:name="ref-VanHeng2008"/>
      <w:bookmarkEnd w:id="86"/>
      <w:r>
        <w:t xml:space="preserve">20. </w:t>
      </w:r>
      <w:r>
        <w:tab/>
        <w:t xml:space="preserve">Van Heng, Y. </w:t>
      </w:r>
      <w:r>
        <w:rPr>
          <w:i/>
          <w:iCs/>
        </w:rPr>
        <w:t>et al.</w:t>
      </w:r>
      <w:r>
        <w:t xml:space="preserve"> </w:t>
      </w:r>
      <w:hyperlink r:id="rId26">
        <w:r>
          <w:rPr>
            <w:rStyle w:val="Hyperl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Litteraturfrteckning"/>
      </w:pPr>
      <w:bookmarkStart w:id="88" w:name="ref-Wang2010"/>
      <w:bookmarkEnd w:id="87"/>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Litteraturfrteckning"/>
      </w:pPr>
      <w:bookmarkStart w:id="89" w:name="ref-Ali1996"/>
      <w:bookmarkEnd w:id="88"/>
      <w:r>
        <w:t xml:space="preserve">22. </w:t>
      </w:r>
      <w:r>
        <w:tab/>
        <w:t xml:space="preserve">Ali, J. </w:t>
      </w:r>
      <w:r>
        <w:rPr>
          <w:i/>
          <w:iCs/>
        </w:rPr>
        <w:t>et al.</w:t>
      </w:r>
      <w:r>
        <w:t xml:space="preserve"> </w:t>
      </w:r>
      <w:hyperlink r:id="rId27">
        <w:r>
          <w:rPr>
            <w:rStyle w:val="Hyperl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Litteraturfrteckning"/>
      </w:pPr>
      <w:bookmarkStart w:id="90" w:name="ref-Ali1999"/>
      <w:bookmarkEnd w:id="89"/>
      <w:r>
        <w:t xml:space="preserve">23. </w:t>
      </w:r>
      <w:r>
        <w:tab/>
        <w:t xml:space="preserve">Ali, J. </w:t>
      </w:r>
      <w:r>
        <w:rPr>
          <w:i/>
          <w:iCs/>
        </w:rPr>
        <w:t>et al.</w:t>
      </w:r>
      <w:r>
        <w:t xml:space="preserve"> </w:t>
      </w:r>
      <w:hyperlink r:id="rId28">
        <w:r>
          <w:rPr>
            <w:rStyle w:val="Hyperl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66"/>
      <w:bookmarkEnd w:id="68"/>
      <w:bookmarkEnd w:id="90"/>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visa Strömmer" w:date="2024-02-03T14:23:00Z" w:initials="LS">
    <w:p w14:paraId="5075477D" w14:textId="77777777" w:rsidR="00CE3161" w:rsidRDefault="00CE3161" w:rsidP="00EB7BF4">
      <w:r>
        <w:rPr>
          <w:rStyle w:val="Kommentarsreferens"/>
        </w:rPr>
        <w:annotationRef/>
      </w:r>
      <w:r>
        <w:rPr>
          <w:sz w:val="20"/>
          <w:szCs w:val="20"/>
        </w:rPr>
        <w:t>Du använder ej termen ”provider” i manuskriptet- menas residents -de som tränats i PTC/ATLS-här?</w:t>
      </w:r>
    </w:p>
    <w:p w14:paraId="244CF9E5" w14:textId="77777777" w:rsidR="00CE3161" w:rsidRDefault="00CE3161" w:rsidP="00EB7BF4"/>
  </w:comment>
  <w:comment w:id="11" w:author="Lovisa Strömmer" w:date="2024-02-03T14:26:00Z" w:initials="LS">
    <w:p w14:paraId="2A6D0EDC" w14:textId="77777777" w:rsidR="00CE3161" w:rsidRDefault="00CE3161" w:rsidP="006E5B56">
      <w:r>
        <w:rPr>
          <w:rStyle w:val="Kommentarsreferens"/>
        </w:rPr>
        <w:annotationRef/>
      </w:r>
      <w:r>
        <w:rPr>
          <w:color w:val="000000"/>
          <w:sz w:val="20"/>
          <w:szCs w:val="20"/>
        </w:rPr>
        <w:t>Vad är anledningen till att du ej har med S och T diagnoserna utan bara orsakskoder?</w:t>
      </w:r>
    </w:p>
  </w:comment>
  <w:comment w:id="19" w:author="Lovisa Strömmer" w:date="2024-02-03T14:30:00Z" w:initials="LS">
    <w:p w14:paraId="1163EF00" w14:textId="77777777" w:rsidR="00CE3161" w:rsidRDefault="00CE3161" w:rsidP="00AB1A77">
      <w:r>
        <w:rPr>
          <w:rStyle w:val="Kommentarsreferens"/>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20" w:author="Lovisa Strömmer" w:date="2024-02-03T14:36:00Z" w:initials="LS">
    <w:p w14:paraId="2E1DEF24" w14:textId="77777777" w:rsidR="003B521D" w:rsidRDefault="003B521D" w:rsidP="00A11247">
      <w:r>
        <w:rPr>
          <w:rStyle w:val="Kommentarsreferens"/>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25" w:author="Lovisa Strömmer" w:date="2024-02-03T14:31:00Z" w:initials="LS">
    <w:p w14:paraId="7460A214" w14:textId="4437CA38" w:rsidR="00CE3161" w:rsidRDefault="00CE3161" w:rsidP="00E15BA7">
      <w:r>
        <w:rPr>
          <w:rStyle w:val="Kommentarsreferens"/>
        </w:rPr>
        <w:annotationRef/>
      </w:r>
      <w:r>
        <w:rPr>
          <w:color w:val="000000"/>
          <w:sz w:val="20"/>
          <w:szCs w:val="20"/>
        </w:rPr>
        <w:t>ett annat ord? assessed? admitted? met/had in the trauma bay/ED</w:t>
      </w:r>
    </w:p>
  </w:comment>
  <w:comment w:id="38" w:author="Lovisa Strömmer" w:date="2024-02-03T14:33:00Z" w:initials="LS">
    <w:p w14:paraId="0E4F2F56" w14:textId="77777777" w:rsidR="00CE3161" w:rsidRDefault="00CE3161" w:rsidP="00C95241">
      <w:r>
        <w:rPr>
          <w:rStyle w:val="Kommentarsreferens"/>
        </w:rPr>
        <w:annotationRef/>
      </w:r>
      <w:r>
        <w:rPr>
          <w:color w:val="000000"/>
          <w:sz w:val="20"/>
          <w:szCs w:val="20"/>
        </w:rPr>
        <w:t>patient</w:t>
      </w:r>
    </w:p>
  </w:comment>
  <w:comment w:id="41" w:author="Lovisa Strömmer" w:date="2024-02-03T14:33:00Z" w:initials="LS">
    <w:p w14:paraId="10037A06" w14:textId="77777777" w:rsidR="00CE3161" w:rsidRDefault="00CE3161" w:rsidP="00575C8C">
      <w:r>
        <w:rPr>
          <w:rStyle w:val="Kommentarsreferens"/>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42" w:author="Lovisa Strömmer" w:date="2024-02-03T14:34:00Z" w:initials="LS">
    <w:p w14:paraId="7EC940EC" w14:textId="77777777" w:rsidR="003B521D" w:rsidRDefault="003B521D" w:rsidP="00792544">
      <w:r>
        <w:rPr>
          <w:rStyle w:val="Kommentarsreferens"/>
        </w:rPr>
        <w:annotationRef/>
      </w:r>
      <w:r>
        <w:rPr>
          <w:sz w:val="20"/>
          <w:szCs w:val="20"/>
        </w:rPr>
        <w:t>Väldigt LÅG ISS och väldigt hög mortalitet- de måste dött av andra orsaker.</w:t>
      </w:r>
    </w:p>
    <w:p w14:paraId="75FFB6FB" w14:textId="77777777" w:rsidR="003B521D" w:rsidRDefault="003B521D" w:rsidP="00792544">
      <w:r>
        <w:rPr>
          <w:sz w:val="20"/>
          <w:szCs w:val="20"/>
        </w:rPr>
        <w:t>10-15% mortalitet förväntas om man ha typ 20% NISS &gt;15 i europa</w:t>
      </w:r>
    </w:p>
  </w:comment>
  <w:comment w:id="44" w:author="Lovisa Strömmer" w:date="2024-02-03T14:38:00Z" w:initials="LS">
    <w:p w14:paraId="1836B7C8" w14:textId="77777777" w:rsidR="003B521D" w:rsidRDefault="003B521D" w:rsidP="000022E3">
      <w:r>
        <w:rPr>
          <w:rStyle w:val="Kommentarsreferens"/>
        </w:rPr>
        <w:annotationRef/>
      </w:r>
      <w:r>
        <w:rPr>
          <w:color w:val="000000"/>
          <w:sz w:val="20"/>
          <w:szCs w:val="20"/>
        </w:rPr>
        <w:t>Slump att det var så LÅG mortalitet under observationsperiden? anmärkningsvärt stor skillnad.</w:t>
      </w:r>
    </w:p>
  </w:comment>
  <w:comment w:id="48" w:author="Lovisa Strömmer" w:date="2024-02-03T14:38:00Z" w:initials="LS">
    <w:p w14:paraId="7D6839CB" w14:textId="77777777" w:rsidR="003B521D" w:rsidRDefault="003B521D" w:rsidP="000A1745">
      <w:r>
        <w:rPr>
          <w:rStyle w:val="Kommentarsreferens"/>
        </w:rPr>
        <w:annotationRef/>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E5" w15:done="0"/>
  <w15:commentEx w15:paraId="2A6D0EDC" w15:done="0"/>
  <w15:commentEx w15:paraId="1163EF00" w15:done="0"/>
  <w15:commentEx w15:paraId="5E756CDF" w15:done="0"/>
  <w15:commentEx w15:paraId="7460A214" w15:done="0"/>
  <w15:commentEx w15:paraId="0E4F2F56" w15:done="0"/>
  <w15:commentEx w15:paraId="0218C12B" w15:done="0"/>
  <w15:commentEx w15:paraId="75FFB6FB" w15:done="0"/>
  <w15:commentEx w15:paraId="1836B7C8" w15:done="0"/>
  <w15:commentEx w15:paraId="7D683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9B0E2F" w16cex:dateUtc="2024-02-03T13:23:00Z"/>
  <w16cex:commentExtensible w16cex:durableId="3F97AF14" w16cex:dateUtc="2024-02-03T13:26:00Z"/>
  <w16cex:commentExtensible w16cex:durableId="3DDD189F" w16cex:dateUtc="2024-02-03T13:30:00Z"/>
  <w16cex:commentExtensible w16cex:durableId="1ADD419F" w16cex:dateUtc="2024-02-03T13:36:00Z"/>
  <w16cex:commentExtensible w16cex:durableId="59627FFA" w16cex:dateUtc="2024-02-03T13:31:00Z"/>
  <w16cex:commentExtensible w16cex:durableId="04587F48" w16cex:dateUtc="2024-02-03T13:33:00Z"/>
  <w16cex:commentExtensible w16cex:durableId="0E7A6378" w16cex:dateUtc="2024-02-03T13:33:00Z"/>
  <w16cex:commentExtensible w16cex:durableId="76D429BB" w16cex:dateUtc="2024-02-03T13:34:00Z"/>
  <w16cex:commentExtensible w16cex:durableId="03290F86" w16cex:dateUtc="2024-02-03T13:38:00Z"/>
  <w16cex:commentExtensible w16cex:durableId="62E129AF" w16cex:dateUtc="2024-02-03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E5" w16cid:durableId="749B0E2F"/>
  <w16cid:commentId w16cid:paraId="2A6D0EDC" w16cid:durableId="3F97AF14"/>
  <w16cid:commentId w16cid:paraId="1163EF00" w16cid:durableId="3DDD189F"/>
  <w16cid:commentId w16cid:paraId="5E756CDF" w16cid:durableId="1ADD419F"/>
  <w16cid:commentId w16cid:paraId="7460A214" w16cid:durableId="59627FFA"/>
  <w16cid:commentId w16cid:paraId="0E4F2F56" w16cid:durableId="04587F48"/>
  <w16cid:commentId w16cid:paraId="0218C12B" w16cid:durableId="0E7A6378"/>
  <w16cid:commentId w16cid:paraId="75FFB6FB" w16cid:durableId="76D429BB"/>
  <w16cid:commentId w16cid:paraId="1836B7C8" w16cid:durableId="03290F86"/>
  <w16cid:commentId w16cid:paraId="7D6839CB" w16cid:durableId="62E12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E124" w14:textId="77777777" w:rsidR="00CF50BD" w:rsidRDefault="00CF50BD">
      <w:pPr>
        <w:spacing w:after="0"/>
      </w:pPr>
      <w:r>
        <w:separator/>
      </w:r>
    </w:p>
  </w:endnote>
  <w:endnote w:type="continuationSeparator" w:id="0">
    <w:p w14:paraId="57E0A1BE" w14:textId="77777777" w:rsidR="00CF50BD" w:rsidRDefault="00CF5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7F13" w14:textId="77777777" w:rsidR="00CF50BD" w:rsidRDefault="00CF50BD">
      <w:r>
        <w:separator/>
      </w:r>
    </w:p>
  </w:footnote>
  <w:footnote w:type="continuationSeparator" w:id="0">
    <w:p w14:paraId="34ACB917" w14:textId="77777777" w:rsidR="00CF50BD" w:rsidRDefault="00CF5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isa Strömmer">
    <w15:presenceInfo w15:providerId="Windows Live" w15:userId="6d8d8577a1f21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92D59"/>
    <w:rsid w:val="003A5A4F"/>
    <w:rsid w:val="003B521D"/>
    <w:rsid w:val="003E55D6"/>
    <w:rsid w:val="006E6516"/>
    <w:rsid w:val="00CE3161"/>
    <w:rsid w:val="00CF50B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BeskrivningChar">
    <w:name w:val="Beskrivning Char"/>
    <w:basedOn w:val="Standardstycketeckensnitt"/>
    <w:link w:val="Beskrivning"/>
    <w:qFormat/>
  </w:style>
  <w:style w:type="character" w:customStyle="1" w:styleId="VerbatimChar">
    <w:name w:val="Verbatim Char"/>
    <w:basedOn w:val="BeskrivningChar"/>
    <w:link w:val="SourceCode"/>
    <w:qFormat/>
    <w:rPr>
      <w:rFonts w:ascii="Consolas" w:hAnsi="Consolas"/>
      <w:sz w:val="22"/>
    </w:rPr>
  </w:style>
  <w:style w:type="character" w:customStyle="1" w:styleId="FootnoteCharacters">
    <w:name w:val="Footnote Characters"/>
    <w:basedOn w:val="BeskrivningChar"/>
    <w:qFormat/>
    <w:rPr>
      <w:vertAlign w:val="superscript"/>
    </w:rPr>
  </w:style>
  <w:style w:type="character" w:customStyle="1" w:styleId="FootnoteAnchor">
    <w:name w:val="Footnote Anchor"/>
    <w:rPr>
      <w:vertAlign w:val="superscript"/>
    </w:rPr>
  </w:style>
  <w:style w:type="character" w:styleId="Hyperlnk">
    <w:name w:val="Hyperlink"/>
    <w:basedOn w:val="Beskrivning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rdtext"/>
    <w:qFormat/>
    <w:pPr>
      <w:keepNext/>
      <w:spacing w:before="240" w:after="120"/>
    </w:pPr>
    <w:rPr>
      <w:rFonts w:ascii="Liberation Sans" w:eastAsia="AR PL KaitiM GB" w:hAnsi="Liberation Sans" w:cs="FreeSans"/>
      <w:sz w:val="28"/>
      <w:szCs w:val="28"/>
    </w:rPr>
  </w:style>
  <w:style w:type="paragraph" w:styleId="Brdtext">
    <w:name w:val="Body Text"/>
    <w:basedOn w:val="Normal"/>
    <w:qFormat/>
    <w:pPr>
      <w:spacing w:before="180" w:after="180"/>
    </w:pPr>
  </w:style>
  <w:style w:type="paragraph" w:styleId="Lista">
    <w:name w:val="List"/>
    <w:basedOn w:val="Brdtext"/>
    <w:rPr>
      <w:rFonts w:cs="FreeSans"/>
    </w:rPr>
  </w:style>
  <w:style w:type="paragraph" w:styleId="Beskrivning">
    <w:name w:val="caption"/>
    <w:basedOn w:val="Normal"/>
    <w:link w:val="Beskrivning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spacing w:after="200"/>
      <w:jc w:val="center"/>
    </w:pPr>
  </w:style>
  <w:style w:type="paragraph" w:styleId="Datum">
    <w:name w:val="Date"/>
    <w:next w:val="Brdtext"/>
    <w:qFormat/>
    <w:pPr>
      <w:keepNext/>
      <w:keepLines/>
      <w:spacing w:after="200"/>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Beskrivning"/>
    <w:qFormat/>
    <w:pPr>
      <w:keepNext/>
    </w:pPr>
  </w:style>
  <w:style w:type="paragraph" w:customStyle="1" w:styleId="ImageCaption">
    <w:name w:val="Image Caption"/>
    <w:basedOn w:val="Beskrivning"/>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nehllsfrteckningsrubrik">
    <w:name w:val="TOC Heading"/>
    <w:basedOn w:val="Rubrik1"/>
    <w:next w:val="Brd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sreferens">
    <w:name w:val="annotation reference"/>
    <w:basedOn w:val="Standardstycketeckensnitt"/>
    <w:rsid w:val="00CE3161"/>
    <w:rPr>
      <w:sz w:val="16"/>
      <w:szCs w:val="16"/>
    </w:rPr>
  </w:style>
  <w:style w:type="paragraph" w:styleId="Kommentarer">
    <w:name w:val="annotation text"/>
    <w:basedOn w:val="Normal"/>
    <w:link w:val="KommentarerChar"/>
    <w:rsid w:val="00CE3161"/>
    <w:rPr>
      <w:sz w:val="20"/>
      <w:szCs w:val="20"/>
    </w:rPr>
  </w:style>
  <w:style w:type="character" w:customStyle="1" w:styleId="KommentarerChar">
    <w:name w:val="Kommentarer Char"/>
    <w:basedOn w:val="Standardstycketeckensnitt"/>
    <w:link w:val="Kommentarer"/>
    <w:rsid w:val="00CE3161"/>
    <w:rPr>
      <w:sz w:val="20"/>
      <w:szCs w:val="20"/>
    </w:rPr>
  </w:style>
  <w:style w:type="paragraph" w:styleId="Kommentarsmne">
    <w:name w:val="annotation subject"/>
    <w:basedOn w:val="Kommentarer"/>
    <w:next w:val="Kommentarer"/>
    <w:link w:val="KommentarsmneChar"/>
    <w:rsid w:val="00CE3161"/>
    <w:rPr>
      <w:b/>
      <w:bCs/>
    </w:rPr>
  </w:style>
  <w:style w:type="character" w:customStyle="1" w:styleId="KommentarsmneChar">
    <w:name w:val="Kommentarsämne Char"/>
    <w:basedOn w:val="KommentarerChar"/>
    <w:link w:val="Kommentarsmne"/>
    <w:rsid w:val="00CE31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6344</Words>
  <Characters>33627</Characters>
  <Application>Microsoft Office Word</Application>
  <DocSecurity>0</DocSecurity>
  <Lines>280</Lines>
  <Paragraphs>79</Paragraphs>
  <ScaleCrop>false</ScaleCrop>
  <HeadingPairs>
    <vt:vector size="2" baseType="variant">
      <vt:variant>
        <vt:lpstr>Rubrik</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Lovisa Strömmer</cp:lastModifiedBy>
  <cp:revision>3</cp:revision>
  <dcterms:created xsi:type="dcterms:W3CDTF">2024-02-03T13:22:00Z</dcterms:created>
  <dcterms:modified xsi:type="dcterms:W3CDTF">2024-02-03T13:38:00Z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