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6" w:name="corresponding-author"/>
    <w:p>
      <w:pPr>
        <w:pStyle w:val="Heading2"/>
      </w:pPr>
      <w:r>
        <w:t xml:space="preserve">Corresponding author</w:t>
      </w:r>
    </w:p>
    <w:p>
      <w:pPr>
        <w:pStyle w:val="FirstParagraph"/>
      </w:pPr>
      <w:r>
        <w:t xml:space="preserve">Martin Gerdin Wärnberg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Start w:id="46" w:name="authors"/>
    <w:p>
      <w:pPr>
        <w:pStyle w:val="Heading2"/>
      </w:pPr>
      <w:r>
        <w:t xml:space="preserve">Authors</w:t>
      </w:r>
    </w:p>
    <w:bookmarkStart w:id="30" w:name="johanna-berg-jb"/>
    <w:p>
      <w:pPr>
        <w:pStyle w:val="Heading5"/>
      </w:pPr>
      <w:r>
        <w:t xml:space="preserve">Johanna Berg (JB)</w:t>
      </w:r>
      <w:r>
        <w:t xml:space="preserve"> </w:t>
      </w:r>
      <w:hyperlink r:id="rId29">
        <w:r>
          <w:drawing>
            <wp:inline>
              <wp:extent cx="152400" cy="152400"/>
              <wp:effectExtent b="0" l="0" r="0" t="0"/>
              <wp:docPr descr="" title="" id="27" name="Picture"/>
              <a:graphic>
                <a:graphicData uri="http://schemas.openxmlformats.org/drawingml/2006/picture">
                  <pic:pic>
                    <pic:nvPicPr>
                      <pic:cNvPr descr="https://info.orcid.org/wp-content/uploads/2019/11/orcid_16x16.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0"/>
    <w:bookmarkStart w:id="31"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31"/>
    <w:bookmarkStart w:id="32"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32"/>
    <w:bookmarkStart w:id="33"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33"/>
    <w:bookmarkStart w:id="34"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34"/>
    <w:bookmarkStart w:id="35"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35"/>
    <w:bookmarkStart w:id="36" w:name="nobhojit-roy-nr"/>
    <w:p>
      <w:pPr>
        <w:pStyle w:val="Heading5"/>
      </w:pPr>
      <w:r>
        <w:t xml:space="preserve">Nobhojit Roy (NR)</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36"/>
    <w:bookmarkStart w:id="37" w:name="rajdeep-singh-rs"/>
    <w:p>
      <w:pPr>
        <w:pStyle w:val="Heading5"/>
      </w:pPr>
      <w:r>
        <w:t xml:space="preserve">Rajdeep Singh (RS)</w:t>
      </w:r>
    </w:p>
    <w:p>
      <w:pPr>
        <w:pStyle w:val="FirstParagraph"/>
      </w:pPr>
      <w:r>
        <w:t xml:space="preserve">Department of Surgery, Maulana Azad Medical College, New Delhi, India.</w:t>
      </w:r>
    </w:p>
    <w:bookmarkEnd w:id="37"/>
    <w:bookmarkStart w:id="38"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8"/>
    <w:bookmarkStart w:id="42" w:name="lovisa-strömmer-ls"/>
    <w:p>
      <w:pPr>
        <w:pStyle w:val="Heading5"/>
      </w:pPr>
      <w:r>
        <w:t xml:space="preserve">Lovisa Strömmer (LS)</w:t>
      </w:r>
      <w:r>
        <w:t xml:space="preserve"> </w:t>
      </w:r>
      <w:hyperlink r:id="rId41">
        <w:r>
          <w:drawing>
            <wp:inline>
              <wp:extent cx="152400" cy="152400"/>
              <wp:effectExtent b="0" l="0" r="0" t="0"/>
              <wp:docPr descr="" title="" id="39" name="Picture"/>
              <a:graphic>
                <a:graphicData uri="http://schemas.openxmlformats.org/drawingml/2006/picture">
                  <pic:pic>
                    <pic:nvPicPr>
                      <pic:cNvPr descr="https://info.orcid.org/wp-content/uploads/2019/11/orcid_16x16.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42"/>
    <w:bookmarkStart w:id="43" w:name="vipul-nandu"/>
    <w:p>
      <w:pPr>
        <w:pStyle w:val="Heading5"/>
      </w:pPr>
      <w:r>
        <w:t xml:space="preserve">Vipul Nandu</w:t>
      </w:r>
    </w:p>
    <w:p>
      <w:pPr>
        <w:pStyle w:val="FirstParagraph"/>
      </w:pPr>
      <w:r>
        <w:t xml:space="preserve">Department of Surgery, HBT Medical College And Dr. R N Cooper Municipal General Hospital, Mumbai, India.</w:t>
      </w:r>
    </w:p>
    <w:bookmarkEnd w:id="43"/>
    <w:bookmarkStart w:id="44"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44"/>
    <w:bookmarkStart w:id="45" w:name="tamal-khan"/>
    <w:p>
      <w:pPr>
        <w:pStyle w:val="Heading5"/>
      </w:pPr>
      <w:r>
        <w:t xml:space="preserve">Tamal Khan</w:t>
      </w:r>
    </w:p>
    <w:p>
      <w:pPr>
        <w:pStyle w:val="FirstParagraph"/>
      </w:pPr>
      <w:r>
        <w:t xml:space="preserve">Senior Research fellow, All India Institute of Medical Sciences, New Delhi, India.</w:t>
      </w:r>
    </w:p>
    <w:bookmarkEnd w:id="45"/>
    <w:bookmarkEnd w:id="46"/>
    <w:bookmarkStart w:id="62" w:name="non-author-contributors"/>
    <w:p>
      <w:pPr>
        <w:pStyle w:val="Heading2"/>
      </w:pPr>
      <w:r>
        <w:t xml:space="preserve">Non-author contributors</w:t>
      </w:r>
    </w:p>
    <w:p>
      <w:pPr>
        <w:pStyle w:val="FirstParagraph"/>
      </w:pPr>
      <w:r>
        <w:t xml:space="preserve">Trauma life support Effectiveness Research Network (TERN) collaborators:</w:t>
      </w:r>
    </w:p>
    <w:bookmarkStart w:id="47"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47"/>
    <w:bookmarkStart w:id="48" w:name="anirban-chatterjee-ac"/>
    <w:p>
      <w:pPr>
        <w:pStyle w:val="Heading5"/>
      </w:pPr>
      <w:r>
        <w:t xml:space="preserve">Anirban Chatterjee (AC)</w:t>
      </w:r>
    </w:p>
    <w:p>
      <w:pPr>
        <w:pStyle w:val="FirstParagraph"/>
      </w:pPr>
      <w:r>
        <w:t xml:space="preserve">Department of Orthopaedic Sciences, Medica Superspecialty Hospital, Kolkata, India.</w:t>
      </w:r>
    </w:p>
    <w:bookmarkEnd w:id="48"/>
    <w:bookmarkStart w:id="49" w:name="chintamani-c"/>
    <w:p>
      <w:pPr>
        <w:pStyle w:val="Heading5"/>
      </w:pPr>
      <w:r>
        <w:t xml:space="preserve">Chintamani (C)</w:t>
      </w:r>
    </w:p>
    <w:p>
      <w:pPr>
        <w:pStyle w:val="FirstParagraph"/>
      </w:pPr>
      <w:r>
        <w:t xml:space="preserve">Department of Surgery, Vardhman Mahavir Medical College and Safdarjung Hospital, New Delhi, India.</w:t>
      </w:r>
    </w:p>
    <w:bookmarkEnd w:id="49"/>
    <w:bookmarkStart w:id="50" w:name="anita-gadgil-ag"/>
    <w:p>
      <w:pPr>
        <w:pStyle w:val="Heading5"/>
      </w:pPr>
      <w:r>
        <w:t xml:space="preserve">Anita Gadgil (AG)</w:t>
      </w:r>
    </w:p>
    <w:p>
      <w:pPr>
        <w:pStyle w:val="FirstParagraph"/>
      </w:pPr>
      <w:r>
        <w:t xml:space="preserve">WHO collaboration Centre for Research in Surgical Care Delivery in LMIC, Mumbai, India.</w:t>
      </w:r>
    </w:p>
    <w:bookmarkEnd w:id="50"/>
    <w:bookmarkStart w:id="51" w:name="marie-hasselberg-mh"/>
    <w:p>
      <w:pPr>
        <w:pStyle w:val="Heading5"/>
      </w:pPr>
      <w:r>
        <w:t xml:space="preserve">Marie Hasselberg (MH)</w:t>
      </w:r>
    </w:p>
    <w:p>
      <w:pPr>
        <w:pStyle w:val="FirstParagraph"/>
      </w:pPr>
      <w:r>
        <w:t xml:space="preserve">Department of Global Public Health, Karolinska Institutet, Stockholm, Sweden.</w:t>
      </w:r>
    </w:p>
    <w:bookmarkEnd w:id="51"/>
    <w:bookmarkStart w:id="52" w:name="deepa-kizhakke-veetil-dkv"/>
    <w:p>
      <w:pPr>
        <w:pStyle w:val="Heading5"/>
      </w:pPr>
      <w:r>
        <w:t xml:space="preserve">Deepa Kizhakke Veetil (DKV)</w:t>
      </w:r>
    </w:p>
    <w:p>
      <w:pPr>
        <w:pStyle w:val="FirstParagraph"/>
      </w:pPr>
      <w:r>
        <w:t xml:space="preserve">Department of Surgery, Manipal Hospital, Dwarka, New Delhi.</w:t>
      </w:r>
    </w:p>
    <w:bookmarkEnd w:id="52"/>
    <w:bookmarkStart w:id="53"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53"/>
    <w:bookmarkStart w:id="54" w:name="debabrata-kundu-dk"/>
    <w:p>
      <w:pPr>
        <w:pStyle w:val="Heading5"/>
      </w:pPr>
      <w:r>
        <w:t xml:space="preserve">Debabrata Kundu (DK)</w:t>
      </w:r>
    </w:p>
    <w:p>
      <w:pPr>
        <w:pStyle w:val="FirstParagraph"/>
      </w:pPr>
      <w:r>
        <w:t xml:space="preserve">Department of Surgery, Medical College Kolkata, Kolkata, India.</w:t>
      </w:r>
    </w:p>
    <w:bookmarkEnd w:id="54"/>
    <w:bookmarkStart w:id="55" w:name="anurag-mishra-am"/>
    <w:p>
      <w:pPr>
        <w:pStyle w:val="Heading5"/>
      </w:pPr>
      <w:r>
        <w:t xml:space="preserve">Anurag Mishra (AM)</w:t>
      </w:r>
    </w:p>
    <w:p>
      <w:pPr>
        <w:pStyle w:val="FirstParagraph"/>
      </w:pPr>
      <w:r>
        <w:t xml:space="preserve">Department of Surgery, Maulana Azad Medical College, New Delhi, India.</w:t>
      </w:r>
    </w:p>
    <w:bookmarkEnd w:id="55"/>
    <w:bookmarkStart w:id="56" w:name="priti-patil-pp"/>
    <w:p>
      <w:pPr>
        <w:pStyle w:val="Heading5"/>
      </w:pPr>
      <w:r>
        <w:t xml:space="preserve">Priti Patil (PP)</w:t>
      </w:r>
    </w:p>
    <w:p>
      <w:pPr>
        <w:pStyle w:val="FirstParagraph"/>
      </w:pPr>
      <w:r>
        <w:t xml:space="preserve">WHO collaboration Centre for Research in Surgical Care Delivery in LMIC, Mumbai, India.</w:t>
      </w:r>
    </w:p>
    <w:bookmarkEnd w:id="56"/>
    <w:bookmarkStart w:id="57" w:name="arun-prasad-ap"/>
    <w:p>
      <w:pPr>
        <w:pStyle w:val="Heading5"/>
      </w:pPr>
      <w:r>
        <w:t xml:space="preserve">Arun Prasad (AP)</w:t>
      </w:r>
    </w:p>
    <w:p>
      <w:pPr>
        <w:pStyle w:val="FirstParagraph"/>
      </w:pPr>
      <w:r>
        <w:t xml:space="preserve">Department of Surgery, Indraprastha Apollo Hospitals, New Delhi</w:t>
      </w:r>
    </w:p>
    <w:bookmarkEnd w:id="57"/>
    <w:bookmarkStart w:id="58" w:name="amit-roy-ar"/>
    <w:p>
      <w:pPr>
        <w:pStyle w:val="Heading5"/>
      </w:pPr>
      <w:r>
        <w:t xml:space="preserve">Amit Roy (AR)</w:t>
      </w:r>
    </w:p>
    <w:p>
      <w:pPr>
        <w:pStyle w:val="FirstParagraph"/>
      </w:pPr>
      <w:r>
        <w:t xml:space="preserve">Department of Surgery, Sir Nil Ratan Sircar Medical College &amp; Hospital, Kolkata, India.</w:t>
      </w:r>
    </w:p>
    <w:bookmarkEnd w:id="58"/>
    <w:bookmarkStart w:id="5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59"/>
    <w:bookmarkStart w:id="6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60"/>
    <w:bookmarkStart w:id="6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61"/>
    <w:bookmarkEnd w:id="62"/>
    <w:bookmarkStart w:id="63" w:name="keywords"/>
    <w:p>
      <w:pPr>
        <w:pStyle w:val="Heading2"/>
      </w:pPr>
      <w:r>
        <w:t xml:space="preserve">Keywords</w:t>
      </w:r>
    </w:p>
    <w:p>
      <w:pPr>
        <w:pStyle w:val="FirstParagraph"/>
      </w:pPr>
      <w:r>
        <w:t xml:space="preserve">Trauma management, Accident and emergency medicine, Education and training.</w:t>
      </w:r>
    </w:p>
    <w:bookmarkEnd w:id="63"/>
    <w:bookmarkStart w:id="6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64"/>
    <w:bookmarkStart w:id="65" w:name="abstract"/>
    <w:p>
      <w:pPr>
        <w:pStyle w:val="Heading1"/>
      </w:pPr>
      <w:r>
        <w:t xml:space="preserve">Abstract</w:t>
      </w:r>
    </w:p>
    <w:p>
      <w:pPr>
        <w:pStyle w:val="FirstParagraph"/>
      </w:pPr>
      <w:r>
        <w:rPr>
          <w:bCs/>
          <w:b/>
        </w:rPr>
        <w:t xml:space="preserve">Importance</w:t>
      </w:r>
      <w:r>
        <w:t xml:space="preserve"> </w:t>
      </w:r>
      <w:r>
        <w:t xml:space="preserve">There is no high-quality evidence to show that trauma life support training programmes improve patient outcomes.</w:t>
      </w:r>
    </w:p>
    <w:p>
      <w:pPr>
        <w:pStyle w:val="TextBody"/>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after incorporating key lessons from this pilot.</w:t>
      </w:r>
    </w:p>
    <w:p>
      <w:pPr>
        <w:pStyle w:val="TextBody"/>
      </w:pPr>
      <w:r>
        <w:rPr>
          <w:bCs/>
          <w:b/>
        </w:rPr>
        <w:t xml:space="preserve">Trial Registration</w:t>
      </w:r>
      <w:r>
        <w:t xml:space="preserve"> </w:t>
      </w:r>
      <w:r>
        <w:t xml:space="preserve">ClinicalTrials.gov (reg. no NCT05417243)</w:t>
      </w:r>
    </w:p>
    <w:p>
      <w:r>
        <w:br w:type="page"/>
      </w:r>
    </w:p>
    <w:bookmarkEnd w:id="65"/>
    <w:bookmarkStart w:id="6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w:t>
      </w:r>
      <w:r>
        <w:rPr>
          <w:vertAlign w:val="superscript"/>
        </w:rPr>
        <w:t xml:space="preserve">2–4,8,9</w:t>
      </w:r>
      <w:r>
        <w:t xml:space="preserve">.</w:t>
      </w:r>
    </w:p>
    <w:p>
      <w:pPr>
        <w:pStyle w:val="TextBody"/>
      </w:pPr>
      <w:r>
        <w:t xml:space="preserve">Several studies, including at least two randomised studies</w:t>
      </w:r>
      <w:r>
        <w:rPr>
          <w:vertAlign w:val="superscript"/>
        </w:rPr>
        <w:t xml:space="preserve">10,11</w:t>
      </w:r>
      <w:r>
        <w:t xml:space="preserve">, show that ATLS</w:t>
      </w:r>
      <w:r>
        <w:rPr>
          <w:vertAlign w:val="superscript"/>
        </w:rPr>
        <w:t xml:space="preserve">®</w:t>
      </w:r>
      <w:r>
        <w:t xml:space="preserve"> </w:t>
      </w:r>
      <w:r>
        <w:t xml:space="preserve">is associated with improved knowledge and skills among providers</w:t>
      </w:r>
      <w:r>
        <w:rPr>
          <w:vertAlign w:val="superscript"/>
        </w:rPr>
        <w:t xml:space="preserve">2</w:t>
      </w:r>
      <w:r>
        <w:t xml:space="preserve">. Observational evidence indicates that PTC also leads to improved provider skills</w:t>
      </w:r>
      <w:r>
        <w:rPr>
          <w:vertAlign w:val="superscript"/>
        </w:rPr>
        <w:t xml:space="preserve">4</w:t>
      </w:r>
      <w:r>
        <w:t xml:space="preserve">. The missing link is then if this improved knowledge and skills translate into measurably improved patient outcomes.</w:t>
      </w:r>
    </w:p>
    <w:p>
      <w:pPr>
        <w:pStyle w:val="TextBody"/>
      </w:pPr>
      <w:r>
        <w:t xml:space="preserve">Systematic reviews call for trials in settings where these programmes are not routinely implemented</w:t>
      </w:r>
      <w:r>
        <w:rPr>
          <w:vertAlign w:val="superscript"/>
        </w:rPr>
        <w:t xml:space="preserve">3,4</w:t>
      </w:r>
      <w:r>
        <w:t xml:space="preserve">, but data needed to inform the planning of such a trial is missing. We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66"/>
    <w:bookmarkStart w:id="88" w:name="methods"/>
    <w:p>
      <w:pPr>
        <w:pStyle w:val="Heading1"/>
      </w:pPr>
      <w:r>
        <w:t xml:space="preserve">Methods</w:t>
      </w:r>
    </w:p>
    <w:bookmarkStart w:id="67"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12</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67"/>
    <w:bookmarkStart w:id="68" w:name="study-setting"/>
    <w:p>
      <w:pPr>
        <w:pStyle w:val="Heading2"/>
      </w:pPr>
      <w:r>
        <w:t xml:space="preserve">Study Setting</w:t>
      </w:r>
    </w:p>
    <w:p>
      <w:pPr>
        <w:pStyle w:val="FirstParagraph"/>
      </w:pPr>
      <w:r>
        <w:t xml:space="preserve">We conducted this pilot study in seven Indian tertiary hospitals across metropolitan areas in India, where neither ATLS</w:t>
      </w:r>
      <w:r>
        <w:rPr>
          <w:vertAlign w:val="superscript"/>
        </w:rPr>
        <w:t xml:space="preserve">®</w:t>
      </w:r>
      <w:r>
        <w:t xml:space="preserve">, PTC, nor any other established trauma life support training program is routinely taught.</w:t>
      </w:r>
    </w:p>
    <w:bookmarkEnd w:id="68"/>
    <w:bookmarkStart w:id="6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69"/>
    <w:bookmarkStart w:id="7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programmes during this pilot study.</w:t>
      </w:r>
    </w:p>
    <w:bookmarkEnd w:id="70"/>
    <w:bookmarkStart w:id="75" w:name="X7fa9f104419b836702429a89b65c3255ae3f510"/>
    <w:p>
      <w:pPr>
        <w:pStyle w:val="Heading2"/>
      </w:pPr>
      <w:r>
        <w:t xml:space="preserve">Eligibility Criteria for Cluster and Participants</w:t>
      </w:r>
    </w:p>
    <w:bookmarkStart w:id="71"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71"/>
    <w:bookmarkStart w:id="72"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72"/>
    <w:bookmarkStart w:id="73" w:name="residents"/>
    <w:p>
      <w:pPr>
        <w:pStyle w:val="Heading3"/>
      </w:pPr>
      <w:r>
        <w:t xml:space="preserve">Residents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73"/>
    <w:bookmarkStart w:id="74" w:name="patients"/>
    <w:p>
      <w:pPr>
        <w:pStyle w:val="Heading3"/>
      </w:pPr>
      <w:r>
        <w:t xml:space="preserve">Patients</w:t>
      </w:r>
    </w:p>
    <w:p>
      <w:pPr>
        <w:pStyle w:val="FirstParagraph"/>
      </w:pPr>
      <w:r>
        <w:t xml:space="preserve">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74"/>
    <w:bookmarkEnd w:id="75"/>
    <w:bookmarkStart w:id="76" w:name="outcomes"/>
    <w:p>
      <w:pPr>
        <w:pStyle w:val="Heading2"/>
      </w:pPr>
      <w:r>
        <w:t xml:space="preserve">Outcomes</w:t>
      </w:r>
    </w:p>
    <w:p>
      <w:pPr>
        <w:pStyle w:val="FirstParagraph"/>
      </w:pPr>
      <w:r>
        <w:t xml:space="preserve">We measured a large number of outcomes to help plan and assess the feasibility of a full scale trial. A list of outcomes is available in Supplementary Table S1.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 did not complete 30 day follow up, out of all enrolled patients.</w:t>
      </w:r>
    </w:p>
    <w:p>
      <w:pPr>
        <w:numPr>
          <w:ilvl w:val="0"/>
          <w:numId w:val="1001"/>
        </w:numPr>
        <w:pStyle w:val="Compact"/>
      </w:pPr>
      <w:r>
        <w:t xml:space="preserve">Pass rate. This applied only to residents in the intervention arms and was equal the percentage of residents who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 measured and compared across trial arms as both final values and as change from baseline.</w:t>
      </w:r>
    </w:p>
    <w:bookmarkEnd w:id="76"/>
    <w:bookmarkStart w:id="79" w:name="participant-timeline-and-inclusion"/>
    <w:p>
      <w:pPr>
        <w:pStyle w:val="Heading2"/>
      </w:pPr>
      <w:r>
        <w:t xml:space="preserve">Participant Timeline and Inclusion</w:t>
      </w:r>
    </w:p>
    <w:bookmarkStart w:id="77"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77"/>
    <w:bookmarkStart w:id="78"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78"/>
    <w:bookmarkEnd w:id="79"/>
    <w:bookmarkStart w:id="80" w:name="sample-size"/>
    <w:p>
      <w:pPr>
        <w:pStyle w:val="Heading2"/>
      </w:pPr>
      <w:r>
        <w:t xml:space="preserve">Sample size</w:t>
      </w:r>
    </w:p>
    <w:p>
      <w:pPr>
        <w:pStyle w:val="FirstParagraph"/>
      </w:pPr>
      <w:r>
        <w:t xml:space="preserve">We did not conduct a formal power calculation for this pilot study, as the purpose was to assess the feasibility of the trial logistics and research methods.</w:t>
      </w:r>
      <w:r>
        <w:t xml:space="preserve"> </w:t>
      </w:r>
    </w:p>
    <w:bookmarkEnd w:id="80"/>
    <w:bookmarkStart w:id="81" w:name="allocation-and-blinding"/>
    <w:p>
      <w:pPr>
        <w:pStyle w:val="Heading2"/>
      </w:pPr>
      <w:r>
        <w:t xml:space="preserve">Allocation and blinding</w:t>
      </w:r>
    </w:p>
    <w:p>
      <w:pPr>
        <w:pStyle w:val="FirstParagraph"/>
      </w:pPr>
      <w:r>
        <w:t xml:space="preserve">We used simple randomisation implemented using sealed envelopes to allocate sites to trial arms. We did not blind investigators, residents or patients to the interventions.</w:t>
      </w:r>
    </w:p>
    <w:bookmarkEnd w:id="81"/>
    <w:bookmarkStart w:id="82"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bookmarkEnd w:id="82"/>
    <w:bookmarkStart w:id="83"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All injuries were coded according to the International Classification of Diseases version 10 (ICD-10). Based on these ICD-10 codes, we calculated the Injury Severity Score using the R package</w:t>
      </w:r>
      <w:r>
        <w:t xml:space="preserve"> </w:t>
      </w:r>
      <w:r>
        <w:rPr>
          <w:rStyle w:val="VerbatimChar"/>
        </w:rPr>
        <w:t xml:space="preserve">icdpicr</w:t>
      </w:r>
      <w:r>
        <w:rPr>
          <w:vertAlign w:val="superscript"/>
        </w:rPr>
        <w:t xml:space="preserve">13</w:t>
      </w:r>
      <w:r>
        <w:t xml:space="preserve">. For a convenience sample of patients we also extracted data from medical records, to be able to compare the distribution of this data with the distribution of data collected through direct observations.</w:t>
      </w:r>
    </w:p>
    <w:bookmarkEnd w:id="83"/>
    <w:bookmarkStart w:id="8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84"/>
    <w:bookmarkStart w:id="85"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85"/>
    <w:bookmarkStart w:id="86" w:name="statistical-methods"/>
    <w:p>
      <w:pPr>
        <w:pStyle w:val="Heading2"/>
      </w:pPr>
      <w:r>
        <w:t xml:space="preserve">Statistical Methods</w:t>
      </w:r>
    </w:p>
    <w:p>
      <w:pPr>
        <w:pStyle w:val="FirstParagraph"/>
      </w:pPr>
      <w:r>
        <w:t xml:space="preserve">We used the R version 4.4.1 (2024-06-14) Statistical Software for all analyses</w:t>
      </w:r>
      <w:r>
        <w:rPr>
          <w:vertAlign w:val="superscript"/>
        </w:rPr>
        <w:t xml:space="preserve">14</w:t>
      </w:r>
      <w:r>
        <w:t xml:space="preserve">. We analysed all data using descriptive statistics and did not perform any formal hypothesis tests</w:t>
      </w:r>
      <w:r>
        <w:rPr>
          <w:vertAlign w:val="superscript"/>
        </w:rPr>
        <w:t xml:space="preserve">15</w:t>
      </w:r>
      <w:r>
        <w:t xml:space="preserve">. Quantitative variables are summarised as median and interquartile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(systolic blood pressure ≤ 90 mmHg), severe traumatic brain injury, and elderly (≥65 years)</w:t>
      </w:r>
      <w:r>
        <w:rPr>
          <w:vertAlign w:val="superscript"/>
        </w:rPr>
        <w:t xml:space="preserve">16</w:t>
      </w:r>
      <w:r>
        <w:t xml:space="preserve">.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pPr>
        <w:pStyle w:val="TextBody"/>
      </w:pPr>
      <w:r>
        <w:t xml:space="preserve">In the interest of space, only the 95% confidence intervals are presented for all comparisons in Supplementary Tables. The remaining results are available from the corresponding author on request.</w:t>
      </w:r>
    </w:p>
    <w:bookmarkEnd w:id="86"/>
    <w:bookmarkStart w:id="87"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XX for Medical College, Kolkata, NRSMC/IEC/93/2021 for Nilratan Sircar Medical College &amp; Hospital in Kolkata, and finally IEC-03/2022-2332 for Postgraduate Institute of Medical Education and Research, Chandigarh.</w:t>
      </w:r>
    </w:p>
    <w:bookmarkEnd w:id="87"/>
    <w:bookmarkEnd w:id="88"/>
    <w:bookmarkStart w:id="94" w:name="results"/>
    <w:p>
      <w:pPr>
        <w:pStyle w:val="Heading1"/>
      </w:pPr>
      <w:r>
        <w:t xml:space="preserve">Results</w:t>
      </w:r>
    </w:p>
    <w:p>
      <w:pPr>
        <w:pStyle w:val="FirstParagraph"/>
      </w:pPr>
      <w:r>
        <w:t xml:space="preserve">We enrolled 376 trauma patients from seven participating centres between April 2022 and February 2023. The standard care arm enrolled 202 patients, the ATLS</w:t>
      </w:r>
      <w:r>
        <w:rPr>
          <w:vertAlign w:val="superscript"/>
        </w:rPr>
        <w:t xml:space="preserve">®</w:t>
      </w:r>
      <w:r>
        <w:t xml:space="preserve"> </w:t>
      </w:r>
      <w:r>
        <w:t xml:space="preserve">arm enrolled 44 patients, and the PTC arm enrolled 130 patients. We trained a total of 22 residents, seven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 characteristics across trial arms are shown in Table</w:t>
      </w:r>
      <w:r>
        <w:t xml:space="preserve"> </w:t>
      </w:r>
      <w:r>
        <w:t xml:space="preserve">??</w:t>
      </w:r>
      <w:r>
        <w:t xml:space="preserve">. Overall, the number of females were 86 (23%), the median (IQR) age was 33 (24, 46) years, and the median ISS (IQR) was 4 (1, 8). A total of 32 (10%) patients died within 30 days after arrival to the emergency department, and 29 (8%) patients died in hospital. The intracluster correlation coefficients was 0.022 for 30-day mortality and 0.017 for in-hospital mortality.</w:t>
      </w:r>
    </w:p>
    <w:p>
      <w:pPr>
        <w:pStyle w:val="CaptionedFigure"/>
      </w:pPr>
      <w:r>
        <w:drawing>
          <wp:inline>
            <wp:extent cx="5943600" cy="2074497"/>
            <wp:effectExtent b="0" l="0" r="0" t="0"/>
            <wp:docPr descr="Figure 1: Study flow diagram. Abbreviations: ATLS, Advanced Trauma Life Support; PTC, Primary Trauma Care." title="" id="90" name="Picture"/>
            <a:graphic>
              <a:graphicData uri="http://schemas.openxmlformats.org/drawingml/2006/picture">
                <pic:pic>
                  <pic:nvPicPr>
                    <pic:cNvPr descr="consort-flow-diagram.png" id="91" name="Picture"/>
                    <pic:cNvPicPr>
                      <a:picLocks noChangeArrowheads="1" noChangeAspect="1"/>
                    </pic:cNvPicPr>
                  </pic:nvPicPr>
                  <pic:blipFill>
                    <a:blip r:embed="rId89"/>
                    <a:stretch>
                      <a:fillRect/>
                    </a:stretch>
                  </pic:blipFill>
                  <pic:spPr bwMode="auto">
                    <a:xfrm>
                      <a:off x="0" y="0"/>
                      <a:ext cx="5943600" cy="2074497"/>
                    </a:xfrm>
                    <a:prstGeom prst="rect">
                      <a:avLst/>
                    </a:prstGeom>
                    <a:noFill/>
                    <a:ln w="9525">
                      <a:noFill/>
                      <a:headEnd/>
                      <a:tailEnd/>
                    </a:ln>
                  </pic:spPr>
                </pic:pic>
              </a:graphicData>
            </a:graphic>
          </wp:inline>
        </w:drawing>
      </w:r>
    </w:p>
    <w:p>
      <w:pPr>
        <w:pStyle w:val="ImageCaption"/>
      </w:pPr>
      <w:bookmarkStart w:id="92" w:name="fig:flow-diagram"/>
      <w:bookmarkEnd w:id="92"/>
      <w:r>
        <w:t xml:space="preserve">Figure 1: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 SBP = systolic blood pressure</w:t>
            </w:r>
          </w:p>
        </w:tc>
      </w:tr>
    </w:tbl>
    <w:bookmarkStart w:id="93" w:name="outcomes-1"/>
    <w:p>
      <w:pPr>
        <w:pStyle w:val="Heading2"/>
      </w:pPr>
      <w:r>
        <w:t xml:space="preserve">Outcomes</w:t>
      </w:r>
    </w:p>
    <w:p>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t xml:space="preserve"> </w:t>
      </w:r>
      <w:r>
        <w:t xml:space="preserve">??</w:t>
      </w:r>
      <w:r>
        <w:t xml:space="preserve"> </w:t>
      </w:r>
      <w:r>
        <w:t xml:space="preserve">and in Supplementary Table S1. The variables with the maximum amount of missing data were complications, reported in Supplementary Tables S1-12. The differences in distributions between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extracted data compared to observed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 and PTC arms respectively, as shown in Table</w:t>
      </w:r>
      <w:r>
        <w:t xml:space="preserve"> </w:t>
      </w:r>
      <w:r>
        <w:t xml:space="preserve">??</w:t>
      </w:r>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 and PTC arms were very small. The results for all other outcomes are shown in Supplementary Tables S1-12.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93"/>
    <w:bookmarkEnd w:id="94"/>
    <w:bookmarkStart w:id="95"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complications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pPr>
        <w:pStyle w:val="TextBody"/>
      </w:pPr>
      <w:r>
        <w:t xml:space="preserve">We found that the ATLS</w:t>
      </w:r>
      <w:r>
        <w:rPr>
          <w:vertAlign w:val="superscript"/>
        </w:rPr>
        <w:t xml:space="preserve">®</w:t>
      </w:r>
      <w:r>
        <w:t xml:space="preserve"> </w:t>
      </w:r>
      <w:r>
        <w:t xml:space="preserve">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This heterogeneity highlights the importance of taking varying cluster sizes into account in the design of the full scale trial.</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17,18</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pPr>
        <w:pStyle w:val="TextBody"/>
      </w:pPr>
      <w:r>
        <w:t xml:space="preserve">During the course of this pilot we deviated from the protocol in several ways, and provide a detailed list as Supplementary</w:t>
      </w:r>
      <w:r>
        <w:t xml:space="preserve"> </w:t>
      </w:r>
      <w:r>
        <w:t xml:space="preserve">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TextBody"/>
      </w:pPr>
      <w:r>
        <w:t xml:space="preserve">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pPr>
        <w:pStyle w:val="TextBody"/>
      </w:pPr>
      <w:r>
        <w:t xml:space="preserve">Previous studies on the effect of in-hospital trauma life support training on patient outcomes are observational or quasi-experimental without a control group, with heterogeneous results</w:t>
      </w:r>
      <w:r>
        <w:rPr>
          <w:vertAlign w:val="superscript"/>
        </w:rPr>
        <w:t xml:space="preserve">19–23</w:t>
      </w:r>
      <w:r>
        <w:t xml:space="preserve">. Studies from Trinidad and Tobago, El Salvador, Rwanda, and Cambodia found no significant effect on patient mortality after implementing in-hospital trauma life support training</w:t>
      </w:r>
      <w:r>
        <w:rPr>
          <w:vertAlign w:val="superscript"/>
        </w:rPr>
        <w:t xml:space="preserve">19–22</w:t>
      </w:r>
      <w:r>
        <w:t xml:space="preserve">, whereas one study from China that included 820 patients found a significant reduction in mortality, from 20 to 15%, after implementing ATLS</w:t>
      </w:r>
      <w:r>
        <w:rPr>
          <w:vertAlign w:val="superscript"/>
        </w:rPr>
        <w:t xml:space="preserve">®</w:t>
      </w:r>
      <w:r>
        <w:rPr>
          <w:vertAlign w:val="superscript"/>
        </w:rPr>
        <w:t xml:space="preserve">23</w:t>
      </w:r>
      <w:r>
        <w:t xml:space="preserve">.</w:t>
      </w:r>
    </w:p>
    <w:p>
      <w:pPr>
        <w:pStyle w:val="TextBody"/>
      </w:pPr>
      <w:r>
        <w:t xml:space="preserve">Considering the widespread use of trauma life support training, several systematic reviews call for trials in settings where these programmes are not routinely implemented</w:t>
      </w:r>
      <w:r>
        <w:rPr>
          <w:vertAlign w:val="superscript"/>
        </w:rPr>
        <w:t xml:space="preserve">2–4</w:t>
      </w:r>
      <w:r>
        <w:t xml:space="preserve">. Our study represents the first published attempt at a controlled trial of the effect of trauma life support training och patient outcomes, and we conclude that conducting a full-scale cluster randomised trial should be feasible after incorporating the lessons of this pilot.</w:t>
      </w:r>
    </w:p>
    <w:bookmarkEnd w:id="95"/>
    <w:bookmarkStart w:id="96" w:name="contributorship-statement"/>
    <w:p>
      <w:pPr>
        <w:pStyle w:val="Heading1"/>
      </w:pPr>
      <w:r>
        <w:t xml:space="preserve">Contributorship statement</w:t>
      </w:r>
    </w:p>
    <w:bookmarkEnd w:id="96"/>
    <w:bookmarkStart w:id="9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97"/>
    <w:bookmarkStart w:id="9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98"/>
    <w:bookmarkStart w:id="99" w:name="data-sharing-statement"/>
    <w:p>
      <w:pPr>
        <w:pStyle w:val="Heading1"/>
      </w:pPr>
      <w:r>
        <w:t xml:space="preserve">Data Sharing Statement</w:t>
      </w:r>
    </w:p>
    <w:p>
      <w:pPr>
        <w:pStyle w:val="FirstParagraph"/>
      </w:pPr>
      <w:r>
        <w:t xml:space="preserve">The final anonymized dataset and code for analysis are released publicly.</w:t>
      </w:r>
    </w:p>
    <w:p>
      <w:r>
        <w:br w:type="page"/>
      </w:r>
    </w:p>
    <w:bookmarkEnd w:id="99"/>
    <w:bookmarkStart w:id="143" w:name="references"/>
    <w:p>
      <w:pPr>
        <w:pStyle w:val="Heading1"/>
      </w:pPr>
      <w:r>
        <w:t xml:space="preserve">References</w:t>
      </w:r>
    </w:p>
    <w:bookmarkStart w:id="142" w:name="refs"/>
    <w:bookmarkStart w:id="101" w:name="ref-injuries2020"/>
    <w:p>
      <w:pPr>
        <w:pStyle w:val="Bibliography"/>
      </w:pPr>
      <w:r>
        <w:t xml:space="preserve">1.</w:t>
      </w:r>
      <w:r>
        <w:t xml:space="preserve"> </w:t>
      </w:r>
      <w:r>
        <w:t xml:space="preserve">	</w:t>
      </w:r>
      <w:r>
        <w:t xml:space="preserve">GBD 2019 Diseases and Injuries Collaborators.</w:t>
      </w:r>
      <w:r>
        <w:t xml:space="preserve"> </w:t>
      </w:r>
      <w:hyperlink r:id="rId100">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01"/>
    <w:bookmarkStart w:id="10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02">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03"/>
    <w:bookmarkStart w:id="10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04">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05"/>
    <w:bookmarkStart w:id="10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06">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07"/>
    <w:bookmarkStart w:id="10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08"/>
    <w:bookmarkStart w:id="10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09"/>
    <w:bookmarkStart w:id="111"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10">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11"/>
    <w:bookmarkStart w:id="113" w:name="ref-putra_impact_2023"/>
    <w:p>
      <w:pPr>
        <w:pStyle w:val="Bibliography"/>
      </w:pPr>
      <w:r>
        <w:t xml:space="preserve">8.</w:t>
      </w:r>
      <w:r>
        <w:t xml:space="preserve"> </w:t>
      </w:r>
      <w:r>
        <w:t xml:space="preserve">	</w:t>
      </w:r>
      <w:r>
        <w:t xml:space="preserve">Putra, A. B.</w:t>
      </w:r>
      <w:r>
        <w:t xml:space="preserve"> </w:t>
      </w:r>
      <w:r>
        <w:rPr>
          <w:iCs/>
          <w:i/>
        </w:rPr>
        <w:t xml:space="preserve">et al.</w:t>
      </w:r>
      <w:r>
        <w:t xml:space="preserve"> </w:t>
      </w:r>
      <w:hyperlink r:id="rId112">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13"/>
    <w:bookmarkStart w:id="115" w:name="ref-mciver_effect_2024"/>
    <w:p>
      <w:pPr>
        <w:pStyle w:val="Bibliography"/>
      </w:pPr>
      <w:r>
        <w:t xml:space="preserve">9.</w:t>
      </w:r>
      <w:r>
        <w:t xml:space="preserve"> </w:t>
      </w:r>
      <w:r>
        <w:t xml:space="preserve">	</w:t>
      </w:r>
      <w:r>
        <w:t xml:space="preserve">McIver, R.</w:t>
      </w:r>
      <w:r>
        <w:t xml:space="preserve"> </w:t>
      </w:r>
      <w:r>
        <w:rPr>
          <w:iCs/>
          <w:i/>
        </w:rPr>
        <w:t xml:space="preserve">et al.</w:t>
      </w:r>
      <w:r>
        <w:t xml:space="preserve"> </w:t>
      </w:r>
      <w:hyperlink r:id="rId114">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15"/>
    <w:bookmarkStart w:id="117" w:name="ref-Ali1996"/>
    <w:p>
      <w:pPr>
        <w:pStyle w:val="Bibliography"/>
      </w:pPr>
      <w:r>
        <w:t xml:space="preserve">10.</w:t>
      </w:r>
      <w:r>
        <w:t xml:space="preserve"> </w:t>
      </w:r>
      <w:r>
        <w:t xml:space="preserve">	</w:t>
      </w:r>
      <w:r>
        <w:t xml:space="preserve">Ali, J.</w:t>
      </w:r>
      <w:r>
        <w:t xml:space="preserve"> </w:t>
      </w:r>
      <w:r>
        <w:rPr>
          <w:iCs/>
          <w:i/>
        </w:rPr>
        <w:t xml:space="preserve">et al.</w:t>
      </w:r>
      <w:r>
        <w:t xml:space="preserve"> </w:t>
      </w:r>
      <w:hyperlink r:id="rId116">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17"/>
    <w:bookmarkStart w:id="119" w:name="ref-Ali1999"/>
    <w:p>
      <w:pPr>
        <w:pStyle w:val="Bibliography"/>
      </w:pPr>
      <w:r>
        <w:t xml:space="preserve">11.</w:t>
      </w:r>
      <w:r>
        <w:t xml:space="preserve"> </w:t>
      </w:r>
      <w:r>
        <w:t xml:space="preserve">	</w:t>
      </w:r>
      <w:r>
        <w:t xml:space="preserve">Ali, J.</w:t>
      </w:r>
      <w:r>
        <w:t xml:space="preserve"> </w:t>
      </w:r>
      <w:r>
        <w:rPr>
          <w:iCs/>
          <w:i/>
        </w:rPr>
        <w:t xml:space="preserve">et al.</w:t>
      </w:r>
      <w:r>
        <w:t xml:space="preserve"> </w:t>
      </w:r>
      <w:hyperlink r:id="rId118">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19"/>
    <w:bookmarkStart w:id="121" w:name="ref-GerdinWärnberg2022"/>
    <w:p>
      <w:pPr>
        <w:pStyle w:val="Bibliography"/>
      </w:pPr>
      <w:r>
        <w:t xml:space="preserve">12.</w:t>
      </w:r>
      <w:r>
        <w:t xml:space="preserve"> </w:t>
      </w:r>
      <w:r>
        <w:t xml:space="preserve">	</w:t>
      </w:r>
      <w:r>
        <w:t xml:space="preserve">Gerdin Wärnberg, M.</w:t>
      </w:r>
      <w:r>
        <w:t xml:space="preserve"> </w:t>
      </w:r>
      <w:r>
        <w:rPr>
          <w:iCs/>
          <w:i/>
        </w:rPr>
        <w:t xml:space="preserve">et al.</w:t>
      </w:r>
      <w:r>
        <w:t xml:space="preserve"> </w:t>
      </w:r>
      <w:hyperlink r:id="rId120">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21"/>
    <w:bookmarkStart w:id="123" w:name="ref-icdpicr_2022"/>
    <w:p>
      <w:pPr>
        <w:pStyle w:val="Bibliography"/>
      </w:pPr>
      <w:r>
        <w:t xml:space="preserve">13.</w:t>
      </w:r>
      <w:r>
        <w:t xml:space="preserve"> </w:t>
      </w:r>
      <w:r>
        <w:t xml:space="preserve">	</w:t>
      </w:r>
      <w:r>
        <w:t xml:space="preserve">Black, A.</w:t>
      </w:r>
      <w:r>
        <w:t xml:space="preserve"> </w:t>
      </w:r>
      <w:r>
        <w:rPr>
          <w:iCs/>
          <w:i/>
        </w:rPr>
        <w:t xml:space="preserve">et al.</w:t>
      </w:r>
      <w:r>
        <w:t xml:space="preserve"> </w:t>
      </w:r>
      <w:hyperlink r:id="rId122">
        <w:r>
          <w:rPr>
            <w:rStyle w:val="InternetLink"/>
            <w:iCs/>
            <w:i/>
          </w:rPr>
          <w:t xml:space="preserve">Icdpicr: ’ICD’ programs for injury categorization in r</w:t>
        </w:r>
      </w:hyperlink>
      <w:r>
        <w:t xml:space="preserve">. (2022).</w:t>
      </w:r>
    </w:p>
    <w:bookmarkEnd w:id="123"/>
    <w:bookmarkStart w:id="125" w:name="ref-R_2024"/>
    <w:p>
      <w:pPr>
        <w:pStyle w:val="Bibliography"/>
      </w:pPr>
      <w:r>
        <w:t xml:space="preserve">14.</w:t>
      </w:r>
      <w:r>
        <w:t xml:space="preserve"> </w:t>
      </w:r>
      <w:r>
        <w:t xml:space="preserve">	</w:t>
      </w:r>
      <w:r>
        <w:t xml:space="preserve">R Core Team.</w:t>
      </w:r>
      <w:r>
        <w:t xml:space="preserve"> </w:t>
      </w:r>
      <w:hyperlink r:id="rId124">
        <w:r>
          <w:rPr>
            <w:rStyle w:val="InternetLink"/>
            <w:iCs/>
            <w:i/>
          </w:rPr>
          <w:t xml:space="preserve">R: A language and environment for statistical computing</w:t>
        </w:r>
      </w:hyperlink>
      <w:r>
        <w:t xml:space="preserve">. (R Foundation for Statistical Computing, 2024).</w:t>
      </w:r>
    </w:p>
    <w:bookmarkEnd w:id="125"/>
    <w:bookmarkStart w:id="127" w:name="ref-Lee2014"/>
    <w:p>
      <w:pPr>
        <w:pStyle w:val="Bibliography"/>
      </w:pPr>
      <w:r>
        <w:t xml:space="preserve">15.</w:t>
      </w:r>
      <w:r>
        <w:t xml:space="preserve"> </w:t>
      </w:r>
      <w:r>
        <w:t xml:space="preserve">	</w:t>
      </w:r>
      <w:r>
        <w:t xml:space="preserve">Lee, E. C.</w:t>
      </w:r>
      <w:r>
        <w:t xml:space="preserve"> </w:t>
      </w:r>
      <w:r>
        <w:rPr>
          <w:iCs/>
          <w:i/>
        </w:rPr>
        <w:t xml:space="preserve">et al.</w:t>
      </w:r>
      <w:r>
        <w:t xml:space="preserve"> </w:t>
      </w:r>
      <w:hyperlink r:id="rId126">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27"/>
    <w:bookmarkStart w:id="129" w:name="ref-hornor_quality_2018"/>
    <w:p>
      <w:pPr>
        <w:pStyle w:val="Bibliography"/>
      </w:pPr>
      <w:r>
        <w:t xml:space="preserve">16.</w:t>
      </w:r>
      <w:r>
        <w:t xml:space="preserve"> </w:t>
      </w:r>
      <w:r>
        <w:t xml:space="preserve">	</w:t>
      </w:r>
      <w:r>
        <w:t xml:space="preserve">Hornor, M. A.</w:t>
      </w:r>
      <w:r>
        <w:t xml:space="preserve"> </w:t>
      </w:r>
      <w:r>
        <w:rPr>
          <w:iCs/>
          <w:i/>
        </w:rPr>
        <w:t xml:space="preserve">et al.</w:t>
      </w:r>
      <w:r>
        <w:t xml:space="preserve"> </w:t>
      </w:r>
      <w:hyperlink r:id="rId128">
        <w:r>
          <w:rPr>
            <w:rStyle w:val="InternetLink"/>
          </w:rPr>
          <w:t xml:space="preserve">Quality</w:t>
        </w:r>
        <w:r>
          <w:rPr>
            <w:rStyle w:val="InternetLink"/>
          </w:rPr>
          <w:t xml:space="preserve"> </w:t>
        </w:r>
        <w:r>
          <w:rPr>
            <w:rStyle w:val="InternetLink"/>
          </w:rPr>
          <w:t xml:space="preserve">Benchmarking</w:t>
        </w:r>
        <w:r>
          <w:rPr>
            <w:rStyle w:val="InternetLink"/>
          </w:rPr>
          <w:t xml:space="preserve"> </w:t>
        </w:r>
        <w:r>
          <w:rPr>
            <w:rStyle w:val="InternetLink"/>
          </w:rPr>
          <w:t xml:space="preserve">in</w:t>
        </w:r>
        <w:r>
          <w:rPr>
            <w:rStyle w:val="InternetLink"/>
          </w:rPr>
          <w:t xml:space="preserve"> </w:t>
        </w:r>
        <w:r>
          <w:rPr>
            <w:rStyle w:val="InternetLink"/>
          </w:rPr>
          <w:t xml:space="preserve">Trauma</w:t>
        </w:r>
        <w:r>
          <w:rPr>
            <w:rStyle w:val="InternetLink"/>
          </w:rPr>
          <w:t xml:space="preserve">: From the</w:t>
        </w:r>
        <w:r>
          <w:rPr>
            <w:rStyle w:val="InternetLink"/>
          </w:rPr>
          <w:t xml:space="preserve"> </w:t>
        </w:r>
        <w:r>
          <w:rPr>
            <w:rStyle w:val="InternetLink"/>
          </w:rPr>
          <w:t xml:space="preserve">NTDB</w:t>
        </w:r>
        <w:r>
          <w:rPr>
            <w:rStyle w:val="InternetLink"/>
          </w:rPr>
          <w:t xml:space="preserve"> </w:t>
        </w:r>
        <w:r>
          <w:rPr>
            <w:rStyle w:val="InternetLink"/>
          </w:rPr>
          <w:t xml:space="preserve">to</w:t>
        </w:r>
        <w:r>
          <w:rPr>
            <w:rStyle w:val="InternetLink"/>
          </w:rPr>
          <w:t xml:space="preserve"> </w:t>
        </w:r>
        <w:r>
          <w:rPr>
            <w:rStyle w:val="InternetLink"/>
          </w:rPr>
          <w:t xml:space="preserve">TQIP</w:t>
        </w:r>
      </w:hyperlink>
      <w:r>
        <w:t xml:space="preserve">.</w:t>
      </w:r>
      <w:r>
        <w:t xml:space="preserve"> </w:t>
      </w:r>
      <w:r>
        <w:rPr>
          <w:iCs/>
          <w:i/>
        </w:rPr>
        <w:t xml:space="preserve">Current Trauma Reports</w:t>
      </w:r>
      <w:r>
        <w:t xml:space="preserve"> </w:t>
      </w:r>
      <w:r>
        <w:rPr>
          <w:bCs/>
          <w:b/>
        </w:rPr>
        <w:t xml:space="preserve">4</w:t>
      </w:r>
      <w:r>
        <w:t xml:space="preserve">, 160–169 (2018).</w:t>
      </w:r>
    </w:p>
    <w:bookmarkEnd w:id="129"/>
    <w:bookmarkStart w:id="131" w:name="ref-Roberts2013"/>
    <w:p>
      <w:pPr>
        <w:pStyle w:val="Bibliography"/>
      </w:pPr>
      <w:r>
        <w:t xml:space="preserve">17.</w:t>
      </w:r>
      <w:r>
        <w:t xml:space="preserve"> </w:t>
      </w:r>
      <w:r>
        <w:t xml:space="preserve">	</w:t>
      </w:r>
      <w:r>
        <w:t xml:space="preserve">Roberts, I.</w:t>
      </w:r>
      <w:r>
        <w:t xml:space="preserve"> </w:t>
      </w:r>
      <w:r>
        <w:rPr>
          <w:iCs/>
          <w:i/>
        </w:rPr>
        <w:t xml:space="preserve">et al.</w:t>
      </w:r>
      <w:r>
        <w:t xml:space="preserve"> </w:t>
      </w:r>
      <w:hyperlink r:id="rId130">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31"/>
    <w:bookmarkStart w:id="133" w:name="ref-Sierink2016"/>
    <w:p>
      <w:pPr>
        <w:pStyle w:val="Bibliography"/>
      </w:pPr>
      <w:r>
        <w:t xml:space="preserve">18.</w:t>
      </w:r>
      <w:r>
        <w:t xml:space="preserve"> </w:t>
      </w:r>
      <w:r>
        <w:t xml:space="preserve">	</w:t>
      </w:r>
      <w:r>
        <w:t xml:space="preserve">Sierink, J. C.</w:t>
      </w:r>
      <w:r>
        <w:t xml:space="preserve"> </w:t>
      </w:r>
      <w:r>
        <w:rPr>
          <w:iCs/>
          <w:i/>
        </w:rPr>
        <w:t xml:space="preserve">et al.</w:t>
      </w:r>
      <w:r>
        <w:t xml:space="preserve"> </w:t>
      </w:r>
      <w:hyperlink r:id="rId132">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33"/>
    <w:bookmarkStart w:id="134" w:name="ref-Ariyanayagam1992"/>
    <w:p>
      <w:pPr>
        <w:pStyle w:val="Bibliography"/>
      </w:pPr>
      <w:r>
        <w:t xml:space="preserve">19.</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34"/>
    <w:bookmarkStart w:id="136" w:name="ref-CioèPeña2016"/>
    <w:p>
      <w:pPr>
        <w:pStyle w:val="Bibliography"/>
      </w:pPr>
      <w:r>
        <w:t xml:space="preserve">20.</w:t>
      </w:r>
      <w:r>
        <w:t xml:space="preserve"> </w:t>
      </w:r>
      <w:r>
        <w:t xml:space="preserve">	</w:t>
      </w:r>
      <w:r>
        <w:t xml:space="preserve">Cioè-Peña, E.</w:t>
      </w:r>
      <w:r>
        <w:t xml:space="preserve"> </w:t>
      </w:r>
      <w:r>
        <w:rPr>
          <w:iCs/>
          <w:i/>
        </w:rPr>
        <w:t xml:space="preserve">et al.</w:t>
      </w:r>
      <w:r>
        <w:t xml:space="preserve"> </w:t>
      </w:r>
      <w:hyperlink r:id="rId135">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36"/>
    <w:bookmarkStart w:id="138" w:name="ref-Petroze2014"/>
    <w:p>
      <w:pPr>
        <w:pStyle w:val="Bibliography"/>
      </w:pPr>
      <w:r>
        <w:t xml:space="preserve">21.</w:t>
      </w:r>
      <w:r>
        <w:t xml:space="preserve"> </w:t>
      </w:r>
      <w:r>
        <w:t xml:space="preserve">	</w:t>
      </w:r>
      <w:r>
        <w:t xml:space="preserve">Petroze, R. T.</w:t>
      </w:r>
      <w:r>
        <w:t xml:space="preserve"> </w:t>
      </w:r>
      <w:r>
        <w:rPr>
          <w:iCs/>
          <w:i/>
        </w:rPr>
        <w:t xml:space="preserve">et al.</w:t>
      </w:r>
      <w:r>
        <w:t xml:space="preserve"> </w:t>
      </w:r>
      <w:hyperlink r:id="rId137">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38"/>
    <w:bookmarkStart w:id="140" w:name="ref-VanHeng2008"/>
    <w:p>
      <w:pPr>
        <w:pStyle w:val="Bibliography"/>
      </w:pPr>
      <w:r>
        <w:t xml:space="preserve">22.</w:t>
      </w:r>
      <w:r>
        <w:t xml:space="preserve"> </w:t>
      </w:r>
      <w:r>
        <w:t xml:space="preserve">	</w:t>
      </w:r>
      <w:r>
        <w:t xml:space="preserve">Van Heng, Y.</w:t>
      </w:r>
      <w:r>
        <w:t xml:space="preserve"> </w:t>
      </w:r>
      <w:r>
        <w:rPr>
          <w:iCs/>
          <w:i/>
        </w:rPr>
        <w:t xml:space="preserve">et al.</w:t>
      </w:r>
      <w:r>
        <w:t xml:space="preserve"> </w:t>
      </w:r>
      <w:hyperlink r:id="rId139">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0"/>
    <w:bookmarkStart w:id="141" w:name="ref-Wang2010"/>
    <w:p>
      <w:pPr>
        <w:pStyle w:val="Bibliography"/>
      </w:pPr>
      <w:r>
        <w:t xml:space="preserve">23.</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1"/>
    <w:bookmarkEnd w:id="142"/>
    <w:bookmarkEnd w:id="14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21" Target="media/rId21.png" /><Relationship Type="http://schemas.openxmlformats.org/officeDocument/2006/relationships/hyperlink" Id="rId100" Target="" TargetMode="External" /><Relationship Type="http://schemas.openxmlformats.org/officeDocument/2006/relationships/hyperlink" Id="rId122" Target="https://CRAN.R-project.org/package=icdpicr" TargetMode="External" /><Relationship Type="http://schemas.openxmlformats.org/officeDocument/2006/relationships/hyperlink" Id="rId104" Target="https://doi.org/10.1002/14651858.cd004173.pub4" TargetMode="External" /><Relationship Type="http://schemas.openxmlformats.org/officeDocument/2006/relationships/hyperlink" Id="rId102" Target="https://doi.org/10.1007/s00268-013-2294-0" TargetMode="External" /><Relationship Type="http://schemas.openxmlformats.org/officeDocument/2006/relationships/hyperlink" Id="rId137" Target="https://doi.org/10.1007/s00268-014-2899-y" TargetMode="External" /><Relationship Type="http://schemas.openxmlformats.org/officeDocument/2006/relationships/hyperlink" Id="rId110" Target="https://doi.org/10.1007/s00268-021-06065-9" TargetMode="External" /><Relationship Type="http://schemas.openxmlformats.org/officeDocument/2006/relationships/hyperlink" Id="rId116" Target="https://doi.org/10.1007/s002689900171" TargetMode="External" /><Relationship Type="http://schemas.openxmlformats.org/officeDocument/2006/relationships/hyperlink" Id="rId128" Target="https://doi.org/10.1007/s40719-018-0127-1" TargetMode="External" /><Relationship Type="http://schemas.openxmlformats.org/officeDocument/2006/relationships/hyperlink" Id="rId106" Target="https://doi.org/10.1016/j.injury.2019.10.084" TargetMode="External" /><Relationship Type="http://schemas.openxmlformats.org/officeDocument/2006/relationships/hyperlink" Id="rId114" Target="https://doi.org/10.1016/j.injury.2024.111492" TargetMode="External" /><Relationship Type="http://schemas.openxmlformats.org/officeDocument/2006/relationships/hyperlink" Id="rId132" Target="https://doi.org/10.1016/s0140-6736(16)30932-1" TargetMode="External" /><Relationship Type="http://schemas.openxmlformats.org/officeDocument/2006/relationships/hyperlink" Id="rId139" Target="https://doi.org/10.1017/s1049023x00006282" TargetMode="External" /><Relationship Type="http://schemas.openxmlformats.org/officeDocument/2006/relationships/hyperlink" Id="rId118" Target="https://doi.org/10.1097/00005373-199901000-00013" TargetMode="External" /><Relationship Type="http://schemas.openxmlformats.org/officeDocument/2006/relationships/hyperlink" Id="rId120" Target="https://doi.org/10.1136/bmjopen-2021-057504" TargetMode="External" /><Relationship Type="http://schemas.openxmlformats.org/officeDocument/2006/relationships/hyperlink" Id="rId135" Target="https://doi.org/10.1177/1460408616672491" TargetMode="External" /><Relationship Type="http://schemas.openxmlformats.org/officeDocument/2006/relationships/hyperlink" Id="rId126" Target="https://doi.org/10.1186/1471-2288-14-41" TargetMode="External" /><Relationship Type="http://schemas.openxmlformats.org/officeDocument/2006/relationships/hyperlink" Id="rId130" Target="https://doi.org/10.3310/hta17100" TargetMode="External" /><Relationship Type="http://schemas.openxmlformats.org/officeDocument/2006/relationships/hyperlink" Id="rId112" Target="https://doi.org/10.7454/nrjs.v8i2.1152" TargetMode="External" /><Relationship Type="http://schemas.openxmlformats.org/officeDocument/2006/relationships/hyperlink" Id="rId41" Target="https://orcid.org/0000-0001-5424-7111" TargetMode="External" /><Relationship Type="http://schemas.openxmlformats.org/officeDocument/2006/relationships/hyperlink" Id="rId24" Target="https://orcid.org/0000-0001-6069-4794" TargetMode="External" /><Relationship Type="http://schemas.openxmlformats.org/officeDocument/2006/relationships/hyperlink" Id="rId29" Target="https://orcid.org/0000-0001-7553-7337" TargetMode="External" /><Relationship Type="http://schemas.openxmlformats.org/officeDocument/2006/relationships/hyperlink" Id="rId124"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00" Target="" TargetMode="External" /><Relationship Type="http://schemas.openxmlformats.org/officeDocument/2006/relationships/hyperlink" Id="rId122" Target="https://CRAN.R-project.org/package=icdpicr" TargetMode="External" /><Relationship Type="http://schemas.openxmlformats.org/officeDocument/2006/relationships/hyperlink" Id="rId104" Target="https://doi.org/10.1002/14651858.cd004173.pub4" TargetMode="External" /><Relationship Type="http://schemas.openxmlformats.org/officeDocument/2006/relationships/hyperlink" Id="rId102" Target="https://doi.org/10.1007/s00268-013-2294-0" TargetMode="External" /><Relationship Type="http://schemas.openxmlformats.org/officeDocument/2006/relationships/hyperlink" Id="rId137" Target="https://doi.org/10.1007/s00268-014-2899-y" TargetMode="External" /><Relationship Type="http://schemas.openxmlformats.org/officeDocument/2006/relationships/hyperlink" Id="rId110" Target="https://doi.org/10.1007/s00268-021-06065-9" TargetMode="External" /><Relationship Type="http://schemas.openxmlformats.org/officeDocument/2006/relationships/hyperlink" Id="rId116" Target="https://doi.org/10.1007/s002689900171" TargetMode="External" /><Relationship Type="http://schemas.openxmlformats.org/officeDocument/2006/relationships/hyperlink" Id="rId128" Target="https://doi.org/10.1007/s40719-018-0127-1" TargetMode="External" /><Relationship Type="http://schemas.openxmlformats.org/officeDocument/2006/relationships/hyperlink" Id="rId106" Target="https://doi.org/10.1016/j.injury.2019.10.084" TargetMode="External" /><Relationship Type="http://schemas.openxmlformats.org/officeDocument/2006/relationships/hyperlink" Id="rId114" Target="https://doi.org/10.1016/j.injury.2024.111492" TargetMode="External" /><Relationship Type="http://schemas.openxmlformats.org/officeDocument/2006/relationships/hyperlink" Id="rId132" Target="https://doi.org/10.1016/s0140-6736(16)30932-1" TargetMode="External" /><Relationship Type="http://schemas.openxmlformats.org/officeDocument/2006/relationships/hyperlink" Id="rId139" Target="https://doi.org/10.1017/s1049023x00006282" TargetMode="External" /><Relationship Type="http://schemas.openxmlformats.org/officeDocument/2006/relationships/hyperlink" Id="rId118" Target="https://doi.org/10.1097/00005373-199901000-00013" TargetMode="External" /><Relationship Type="http://schemas.openxmlformats.org/officeDocument/2006/relationships/hyperlink" Id="rId120" Target="https://doi.org/10.1136/bmjopen-2021-057504" TargetMode="External" /><Relationship Type="http://schemas.openxmlformats.org/officeDocument/2006/relationships/hyperlink" Id="rId135" Target="https://doi.org/10.1177/1460408616672491" TargetMode="External" /><Relationship Type="http://schemas.openxmlformats.org/officeDocument/2006/relationships/hyperlink" Id="rId126" Target="https://doi.org/10.1186/1471-2288-14-41" TargetMode="External" /><Relationship Type="http://schemas.openxmlformats.org/officeDocument/2006/relationships/hyperlink" Id="rId130" Target="https://doi.org/10.3310/hta17100" TargetMode="External" /><Relationship Type="http://schemas.openxmlformats.org/officeDocument/2006/relationships/hyperlink" Id="rId112" Target="https://doi.org/10.7454/nrjs.v8i2.1152" TargetMode="External" /><Relationship Type="http://schemas.openxmlformats.org/officeDocument/2006/relationships/hyperlink" Id="rId41" Target="https://orcid.org/0000-0001-5424-7111" TargetMode="External" /><Relationship Type="http://schemas.openxmlformats.org/officeDocument/2006/relationships/hyperlink" Id="rId24" Target="https://orcid.org/0000-0001-6069-4794" TargetMode="External" /><Relationship Type="http://schemas.openxmlformats.org/officeDocument/2006/relationships/hyperlink" Id="rId29" Target="https://orcid.org/0000-0001-7553-7337" TargetMode="External" /><Relationship Type="http://schemas.openxmlformats.org/officeDocument/2006/relationships/hyperlink" Id="rId124"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dcterms:created xsi:type="dcterms:W3CDTF">2024-10-31T07:01:12Z</dcterms:created>
  <dcterms:modified xsi:type="dcterms:W3CDTF">2024-10-31T07:01:12Z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