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Heading2"/>
      </w:pPr>
      <w:bookmarkStart w:id="0"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1" w:name="keywords"/>
      <w:bookmarkEnd w:id="0"/>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2" w:name="role-of-study-sponsor-and-funders"/>
      <w:bookmarkEnd w:id="1"/>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Heading1"/>
      </w:pPr>
      <w:bookmarkStart w:id="3" w:name="abstract"/>
      <w:bookmarkEnd w:id="2"/>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Heading1"/>
      </w:pPr>
      <w:bookmarkStart w:id="4" w:name="introduction"/>
      <w:bookmarkEnd w:id="3"/>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Heading1"/>
      </w:pPr>
      <w:bookmarkStart w:id="5" w:name="methods"/>
      <w:bookmarkEnd w:id="4"/>
      <w:r>
        <w:t>Methods</w:t>
      </w:r>
    </w:p>
    <w:p w14:paraId="16E241CE" w14:textId="77777777" w:rsidR="006E6516" w:rsidRDefault="00000000">
      <w:pPr>
        <w:pStyle w:val="Heading2"/>
      </w:pPr>
      <w:bookmarkStart w:id="6"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7" w:name="study-setting"/>
      <w:bookmarkEnd w:id="6"/>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8" w:name="X7bf816d15417d72b52f4044ddf6e049cf7720e1"/>
      <w:bookmarkEnd w:id="7"/>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9"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0" w:name="resident-doctor-participants"/>
      <w:bookmarkEnd w:id="9"/>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1" w:name="clusters"/>
      <w:bookmarkEnd w:id="10"/>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Heading2"/>
      </w:pPr>
      <w:bookmarkStart w:id="12" w:name="interventions"/>
      <w:bookmarkEnd w:id="8"/>
      <w:bookmarkEnd w:id="11"/>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13"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14" w:name="adherence"/>
      <w:bookmarkEnd w:id="13"/>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15" w:name="standard-care"/>
      <w:bookmarkEnd w:id="14"/>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16" w:name="outcomes"/>
      <w:bookmarkEnd w:id="12"/>
      <w:bookmarkEnd w:id="15"/>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17" w:name="participant-timeline"/>
      <w:bookmarkEnd w:id="16"/>
      <w:r>
        <w:t>Participant Timeline</w:t>
      </w:r>
    </w:p>
    <w:p w14:paraId="43DC7018" w14:textId="77777777" w:rsidR="006E6516" w:rsidRDefault="00000000">
      <w:pPr>
        <w:pStyle w:val="Heading3"/>
      </w:pPr>
      <w:bookmarkStart w:id="18" w:name="patients"/>
      <w:r>
        <w:t>Patients</w:t>
      </w:r>
    </w:p>
    <w:p w14:paraId="7AC514C5" w14:textId="77777777" w:rsidR="006E6516" w:rsidRDefault="00000000">
      <w:pPr>
        <w:pStyle w:val="FirstParagraph"/>
      </w:pPr>
      <w:r>
        <w:t>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at 24 hours after arrival at the emergency department, and at 30 days after arrival at the emergency department.</w:t>
      </w:r>
    </w:p>
    <w:p w14:paraId="75BAB16A" w14:textId="77777777" w:rsidR="006E6516" w:rsidRDefault="00000000">
      <w:pPr>
        <w:pStyle w:val="Heading3"/>
      </w:pPr>
      <w:bookmarkStart w:id="19" w:name="residents"/>
      <w:bookmarkEnd w:id="18"/>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Heading2"/>
      </w:pPr>
      <w:bookmarkStart w:id="20" w:name="sample-size"/>
      <w:bookmarkEnd w:id="17"/>
      <w:bookmarkEnd w:id="19"/>
      <w:r>
        <w:t>Sample size</w:t>
      </w:r>
    </w:p>
    <w:p w14:paraId="69F5226B" w14:textId="77777777" w:rsidR="006E6516" w:rsidRDefault="00000000">
      <w:pPr>
        <w:pStyle w:val="FirstParagraph"/>
      </w:pPr>
      <w:r>
        <w:t>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Heading2"/>
      </w:pPr>
      <w:bookmarkStart w:id="21" w:name="recruitment"/>
      <w:bookmarkEnd w:id="20"/>
      <w:r>
        <w:t>Recruitment</w:t>
      </w:r>
    </w:p>
    <w:p w14:paraId="49D4CBFE" w14:textId="77777777" w:rsidR="006E6516" w:rsidRDefault="00000000">
      <w:pPr>
        <w:pStyle w:val="FirstParagraph"/>
      </w:pPr>
      <w:r>
        <w:t>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3A2B1A9" w14:textId="77777777" w:rsidR="006E6516" w:rsidRDefault="00000000">
      <w:pPr>
        <w:pStyle w:val="Heading2"/>
      </w:pPr>
      <w:bookmarkStart w:id="22" w:name="allocation"/>
      <w:bookmarkEnd w:id="21"/>
      <w:r>
        <w:t>Allocation</w:t>
      </w:r>
    </w:p>
    <w:p w14:paraId="13864078" w14:textId="77777777" w:rsidR="006E6516" w:rsidRDefault="00000000">
      <w:pPr>
        <w:pStyle w:val="Heading3"/>
      </w:pPr>
      <w:bookmarkStart w:id="23"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24" w:name="concealment-mechanism"/>
      <w:bookmarkEnd w:id="23"/>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25" w:name="implementation"/>
      <w:bookmarkEnd w:id="24"/>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26" w:name="blinding"/>
      <w:bookmarkEnd w:id="22"/>
      <w:bookmarkEnd w:id="25"/>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27" w:name="data-collection"/>
      <w:bookmarkEnd w:id="26"/>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ody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28" w:name="variables"/>
      <w:bookmarkEnd w:id="27"/>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29" w:name="patient-and-public-involvement"/>
      <w:bookmarkEnd w:id="28"/>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30" w:name="data-management"/>
      <w:bookmarkEnd w:id="29"/>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31" w:name="data-monitoring"/>
      <w:bookmarkEnd w:id="30"/>
      <w:r>
        <w:t>Data monitoring</w:t>
      </w:r>
    </w:p>
    <w:p w14:paraId="71A78F19" w14:textId="77777777" w:rsidR="006E6516" w:rsidRDefault="00000000">
      <w:pPr>
        <w:pStyle w:val="FirstParagraph"/>
      </w:pPr>
      <w:r>
        <w:t>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Heading2"/>
      </w:pPr>
      <w:bookmarkStart w:id="32" w:name="statistical-methods"/>
      <w:bookmarkEnd w:id="31"/>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33" w:name="ethics-and-dissemination"/>
      <w:bookmarkEnd w:id="32"/>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34" w:name="results"/>
      <w:bookmarkEnd w:id="5"/>
      <w:bookmarkEnd w:id="33"/>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7"/>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35" w:name="fig:flow-diagram"/>
      <w:bookmarkEnd w:id="35"/>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Table 1: Patient sample characteristics</w:t>
      </w:r>
    </w:p>
    <w:tbl>
      <w:tblPr>
        <w:tblStyle w:val="Table"/>
        <w:tblW w:w="5031" w:type="pct"/>
        <w:tblInd w:w="108" w:type="dxa"/>
        <w:tblLook w:val="0020" w:firstRow="1" w:lastRow="0" w:firstColumn="0" w:lastColumn="0" w:noHBand="0" w:noVBand="0"/>
        <w:tblCaption w:val="Table 1: Patient sample characteristics"/>
      </w:tblPr>
      <w:tblGrid>
        <w:gridCol w:w="1501"/>
        <w:gridCol w:w="834"/>
        <w:gridCol w:w="876"/>
        <w:gridCol w:w="1020"/>
        <w:gridCol w:w="910"/>
        <w:gridCol w:w="834"/>
        <w:gridCol w:w="834"/>
        <w:gridCol w:w="1033"/>
        <w:gridCol w:w="910"/>
        <w:gridCol w:w="883"/>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r w:rsidRPr="003E55D6">
              <w:rPr>
                <w:sz w:val="16"/>
                <w:szCs w:val="16"/>
              </w:rPr>
              <w:t>Missing</w:t>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36" w:name="patient-participant-outcomes"/>
      <w:r>
        <w:lastRenderedPageBreak/>
        <w:t>Patient Participant Outcomes</w:t>
      </w:r>
    </w:p>
    <w:p w14:paraId="449FE632" w14:textId="77777777" w:rsidR="006E6516" w:rsidRDefault="00000000">
      <w:pPr>
        <w:pStyle w:val="FirstParagraph"/>
      </w:pPr>
      <w:r>
        <w:t>After training, a total of 22 (16%) patients in the standard care arm had the primary outcome, compared to 1 (3.8%) patients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(95% CI) in the standard care arm was 6.15 (2.62, 10.91), in the ATLS</w:t>
      </w:r>
      <w:r>
        <w:rPr>
          <w:vertAlign w:val="superscript"/>
        </w:rPr>
        <w:t>®</w:t>
      </w:r>
      <w:r>
        <w:t xml:space="preserve"> arm , and in the PTC arm 0.49 (0, 2.31).</w:t>
      </w:r>
    </w:p>
    <w:p w14:paraId="454ED31F" w14:textId="77777777" w:rsidR="006E6516"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37" w:name="resident-participant-outcomes"/>
      <w:bookmarkEnd w:id="36"/>
      <w:r>
        <w:t>Resident Participant Outcomes</w:t>
      </w:r>
    </w:p>
    <w:p w14:paraId="1304A437" w14:textId="77777777" w:rsidR="006E6516" w:rsidRDefault="00000000">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38" w:name="feasibility-outcomes"/>
      <w:bookmarkEnd w:id="37"/>
      <w:r>
        <w:t>Feasibility Outcomes</w:t>
      </w:r>
    </w:p>
    <w:p w14:paraId="46975B66" w14:textId="77777777" w:rsidR="006E6516" w:rsidRDefault="00000000">
      <w:pPr>
        <w:pStyle w:val="FirstParagraph"/>
      </w:pPr>
      <w:r>
        <w:t>.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39" w:name="tab:observed-vs-retrospective"/>
      <w:bookmarkEnd w:id="39"/>
      <w:r>
        <w:br w:type="page"/>
      </w:r>
    </w:p>
    <w:p w14:paraId="30CC77A0" w14:textId="055AE6FE" w:rsidR="006E6516" w:rsidRDefault="00000000">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Grid>
        <w:gridCol w:w="4191"/>
        <w:gridCol w:w="2891"/>
        <w:gridCol w:w="2494"/>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40" w:name="discussion"/>
      <w:bookmarkEnd w:id="34"/>
      <w:bookmarkEnd w:id="38"/>
      <w:r>
        <w:t>Discussion</w:t>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41" w:name="contributorship-statement"/>
      <w:bookmarkEnd w:id="40"/>
      <w:r>
        <w:t>Contributorship statement</w:t>
      </w:r>
    </w:p>
    <w:p w14:paraId="5983DC35" w14:textId="77777777" w:rsidR="006E6516" w:rsidRDefault="00000000">
      <w:pPr>
        <w:pStyle w:val="Heading1"/>
      </w:pPr>
      <w:bookmarkStart w:id="42" w:name="competing-interests"/>
      <w:bookmarkEnd w:id="41"/>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43" w:name="funding"/>
      <w:bookmarkEnd w:id="42"/>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44" w:name="data-sharing-statement"/>
      <w:bookmarkEnd w:id="43"/>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45" w:name="protocol-deviations"/>
      <w:bookmarkEnd w:id="44"/>
      <w:r>
        <w:t>Protocol Deviations</w:t>
      </w:r>
    </w:p>
    <w:p w14:paraId="3BE01700" w14:textId="77777777" w:rsidR="006E6516" w:rsidRDefault="00000000">
      <w:pPr>
        <w:pStyle w:val="Heading2"/>
      </w:pPr>
      <w:bookmarkStart w:id="46"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Heading2"/>
      </w:pPr>
      <w:bookmarkStart w:id="47" w:name="outcomes-across-subgroups"/>
      <w:bookmarkEnd w:id="46"/>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48" w:name="number-of-participating-centres"/>
      <w:bookmarkEnd w:id="47"/>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Heading2"/>
      </w:pPr>
      <w:bookmarkStart w:id="49" w:name="resident-participants"/>
      <w:bookmarkEnd w:id="48"/>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Heading2"/>
      </w:pPr>
      <w:bookmarkStart w:id="50" w:name="periodic-suverys-to-residents"/>
      <w:bookmarkEnd w:id="49"/>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Heading2"/>
      </w:pPr>
      <w:bookmarkStart w:id="51" w:name="follow-up-of-residents"/>
      <w:bookmarkEnd w:id="50"/>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Heading2"/>
      </w:pPr>
      <w:bookmarkStart w:id="52" w:name="data-collection-from-records"/>
      <w:bookmarkEnd w:id="51"/>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Heading2"/>
      </w:pPr>
      <w:bookmarkStart w:id="53" w:name="selection-of-units-for-training"/>
      <w:bookmarkEnd w:id="52"/>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54" w:name="timing-of-resident-consent"/>
      <w:bookmarkEnd w:id="53"/>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55" w:name="supplementary-material"/>
      <w:bookmarkEnd w:id="45"/>
      <w:bookmarkEnd w:id="54"/>
      <w:r>
        <w:lastRenderedPageBreak/>
        <w:t>Supplementary material</w:t>
      </w:r>
    </w:p>
    <w:p w14:paraId="2950A175" w14:textId="77777777" w:rsidR="006E6516" w:rsidRDefault="00000000">
      <w:pPr>
        <w:pStyle w:val="Heading1"/>
      </w:pPr>
      <w:bookmarkStart w:id="56" w:name="references"/>
      <w:bookmarkEnd w:id="55"/>
      <w:r>
        <w:t>References</w:t>
      </w:r>
    </w:p>
    <w:p w14:paraId="154EBB75" w14:textId="77777777" w:rsidR="006E6516" w:rsidRDefault="00000000">
      <w:pPr>
        <w:pStyle w:val="Bibliography"/>
      </w:pPr>
      <w:bookmarkStart w:id="57" w:name="ref-injuries2020"/>
      <w:bookmarkStart w:id="58"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59" w:name="ref-Vos2020"/>
      <w:bookmarkEnd w:id="57"/>
      <w:r>
        <w:t xml:space="preserve">2. </w:t>
      </w:r>
      <w:r>
        <w:tab/>
        <w:t xml:space="preserve">Vos, T. </w:t>
      </w:r>
      <w:r>
        <w:rPr>
          <w:i/>
          <w:iCs/>
        </w:rPr>
        <w:t>et al.</w:t>
      </w:r>
      <w:r>
        <w:t xml:space="preserve"> </w:t>
      </w:r>
      <w:hyperlink r:id="rId8">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60" w:name="ref-Mohammad2013"/>
      <w:bookmarkEnd w:id="59"/>
      <w:r>
        <w:t xml:space="preserve">3. </w:t>
      </w:r>
      <w:r>
        <w:tab/>
        <w:t xml:space="preserve">Mohammad, A. </w:t>
      </w:r>
      <w:r>
        <w:rPr>
          <w:i/>
          <w:iCs/>
        </w:rPr>
        <w:t>et al.</w:t>
      </w:r>
      <w:r>
        <w:t xml:space="preserve"> </w:t>
      </w:r>
      <w:hyperlink r:id="rId9">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61" w:name="ref-Jayaraman2014"/>
      <w:bookmarkEnd w:id="60"/>
      <w:r>
        <w:t xml:space="preserve">4. </w:t>
      </w:r>
      <w:r>
        <w:tab/>
        <w:t xml:space="preserve">Jayaraman, S. </w:t>
      </w:r>
      <w:r>
        <w:rPr>
          <w:i/>
          <w:iCs/>
        </w:rPr>
        <w:t>et al.</w:t>
      </w:r>
      <w:r>
        <w:t xml:space="preserve"> </w:t>
      </w:r>
      <w:hyperlink r:id="rId10">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62" w:name="ref-Kadhum2020"/>
      <w:bookmarkEnd w:id="61"/>
      <w:r>
        <w:t xml:space="preserve">5. </w:t>
      </w:r>
      <w:r>
        <w:tab/>
        <w:t xml:space="preserve">Kadhum, M. </w:t>
      </w:r>
      <w:r>
        <w:rPr>
          <w:i/>
          <w:iCs/>
        </w:rPr>
        <w:t>et al.</w:t>
      </w:r>
      <w:r>
        <w:t xml:space="preserve"> </w:t>
      </w:r>
      <w:hyperlink r:id="rId11">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63" w:name="ref-acsAtls2018"/>
      <w:bookmarkEnd w:id="62"/>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64" w:name="ref-ptcfPtc2018"/>
      <w:bookmarkEnd w:id="63"/>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65" w:name="ref-Jin2021"/>
      <w:bookmarkEnd w:id="64"/>
      <w:r>
        <w:t xml:space="preserve">8. </w:t>
      </w:r>
      <w:r>
        <w:tab/>
        <w:t xml:space="preserve">Jin, J. </w:t>
      </w:r>
      <w:r>
        <w:rPr>
          <w:i/>
          <w:iCs/>
        </w:rPr>
        <w:t>et al.</w:t>
      </w:r>
      <w:r>
        <w:t xml:space="preserve"> </w:t>
      </w:r>
      <w:hyperlink r:id="rId12">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66" w:name="ref-Hemming2017"/>
      <w:bookmarkEnd w:id="65"/>
      <w:r>
        <w:t xml:space="preserve">9. </w:t>
      </w:r>
      <w:r>
        <w:tab/>
        <w:t xml:space="preserve">Hemming, K. </w:t>
      </w:r>
      <w:r>
        <w:rPr>
          <w:i/>
          <w:iCs/>
        </w:rPr>
        <w:t>et al.</w:t>
      </w:r>
      <w:r>
        <w:t xml:space="preserve"> </w:t>
      </w:r>
      <w:hyperlink r:id="rId13">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67" w:name="ref-Hornor2018"/>
      <w:bookmarkEnd w:id="66"/>
      <w:r>
        <w:t xml:space="preserve">10. </w:t>
      </w:r>
      <w:r>
        <w:tab/>
        <w:t xml:space="preserve">Hornor, M. A. </w:t>
      </w:r>
      <w:r>
        <w:rPr>
          <w:i/>
          <w:iCs/>
        </w:rPr>
        <w:t>et al.</w:t>
      </w:r>
      <w:r>
        <w:t xml:space="preserve"> </w:t>
      </w:r>
      <w:hyperlink r:id="rId14">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68" w:name="ref-Staniszewska2017"/>
      <w:bookmarkEnd w:id="67"/>
      <w:r>
        <w:t xml:space="preserve">11. </w:t>
      </w:r>
      <w:r>
        <w:tab/>
        <w:t xml:space="preserve">Staniszewska, S. </w:t>
      </w:r>
      <w:r>
        <w:rPr>
          <w:i/>
          <w:iCs/>
        </w:rPr>
        <w:t>et al.</w:t>
      </w:r>
      <w:r>
        <w:t xml:space="preserve"> </w:t>
      </w:r>
      <w:hyperlink r:id="rId15">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69" w:name="ref-KoboToolbox"/>
      <w:bookmarkEnd w:id="68"/>
      <w:r>
        <w:t xml:space="preserve">12. </w:t>
      </w:r>
      <w:r>
        <w:tab/>
        <w:t>Kobo. KoboToolbox.</w:t>
      </w:r>
    </w:p>
    <w:p w14:paraId="6B3A6717" w14:textId="77777777" w:rsidR="006E6516" w:rsidRDefault="00000000">
      <w:pPr>
        <w:pStyle w:val="Bibliography"/>
      </w:pPr>
      <w:bookmarkStart w:id="70" w:name="ref-Lee2014"/>
      <w:bookmarkEnd w:id="69"/>
      <w:r>
        <w:t xml:space="preserve">13. </w:t>
      </w:r>
      <w:r>
        <w:tab/>
        <w:t xml:space="preserve">Lee, E. C. </w:t>
      </w:r>
      <w:r>
        <w:rPr>
          <w:i/>
          <w:iCs/>
        </w:rPr>
        <w:t>et al.</w:t>
      </w:r>
      <w:r>
        <w:t xml:space="preserve"> </w:t>
      </w:r>
      <w:hyperlink r:id="rId16">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71" w:name="ref-GerdinWärnberg2022"/>
      <w:bookmarkEnd w:id="70"/>
      <w:r>
        <w:t xml:space="preserve">14. </w:t>
      </w:r>
      <w:r>
        <w:tab/>
        <w:t xml:space="preserve">Gerdin Wärnberg, M. </w:t>
      </w:r>
      <w:r>
        <w:rPr>
          <w:i/>
          <w:iCs/>
        </w:rPr>
        <w:t>et al.</w:t>
      </w:r>
      <w:r>
        <w:t xml:space="preserve"> </w:t>
      </w:r>
      <w:hyperlink r:id="rId17">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72" w:name="ref-Roberts2013"/>
      <w:bookmarkEnd w:id="71"/>
      <w:r>
        <w:lastRenderedPageBreak/>
        <w:t xml:space="preserve">15. </w:t>
      </w:r>
      <w:r>
        <w:tab/>
        <w:t xml:space="preserve">Roberts, I. </w:t>
      </w:r>
      <w:r>
        <w:rPr>
          <w:i/>
          <w:iCs/>
        </w:rPr>
        <w:t>et al.</w:t>
      </w:r>
      <w:r>
        <w:t xml:space="preserve"> </w:t>
      </w:r>
      <w:hyperlink r:id="rId18">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73" w:name="ref-Sierink2016"/>
      <w:bookmarkEnd w:id="72"/>
      <w:r>
        <w:t xml:space="preserve">16. </w:t>
      </w:r>
      <w:r>
        <w:tab/>
        <w:t xml:space="preserve">Sierink, J. C. </w:t>
      </w:r>
      <w:r>
        <w:rPr>
          <w:i/>
          <w:iCs/>
        </w:rPr>
        <w:t>et al.</w:t>
      </w:r>
      <w:r>
        <w:t xml:space="preserve"> </w:t>
      </w:r>
      <w:hyperlink r:id="rId19">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74" w:name="ref-Ariyanayagam1992"/>
      <w:bookmarkEnd w:id="73"/>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75" w:name="ref-CioèPeña2016"/>
      <w:bookmarkEnd w:id="74"/>
      <w:r>
        <w:t xml:space="preserve">18. </w:t>
      </w:r>
      <w:r>
        <w:tab/>
        <w:t xml:space="preserve">Cioè-Peña, E. </w:t>
      </w:r>
      <w:r>
        <w:rPr>
          <w:i/>
          <w:iCs/>
        </w:rPr>
        <w:t>et al.</w:t>
      </w:r>
      <w:r>
        <w:t xml:space="preserve"> </w:t>
      </w:r>
      <w:hyperlink r:id="rId20">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76" w:name="ref-Petroze2014"/>
      <w:bookmarkEnd w:id="75"/>
      <w:r>
        <w:t xml:space="preserve">19. </w:t>
      </w:r>
      <w:r>
        <w:tab/>
        <w:t xml:space="preserve">Petroze, R. T. </w:t>
      </w:r>
      <w:r>
        <w:rPr>
          <w:i/>
          <w:iCs/>
        </w:rPr>
        <w:t>et al.</w:t>
      </w:r>
      <w:r>
        <w:t xml:space="preserve"> </w:t>
      </w:r>
      <w:hyperlink r:id="rId21">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77" w:name="ref-VanHeng2008"/>
      <w:bookmarkEnd w:id="76"/>
      <w:r>
        <w:t xml:space="preserve">20. </w:t>
      </w:r>
      <w:r>
        <w:tab/>
        <w:t xml:space="preserve">Van Heng, Y. </w:t>
      </w:r>
      <w:r>
        <w:rPr>
          <w:i/>
          <w:iCs/>
        </w:rPr>
        <w:t>et al.</w:t>
      </w:r>
      <w:r>
        <w:t xml:space="preserve"> </w:t>
      </w:r>
      <w:hyperlink r:id="rId22">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78" w:name="ref-Wang2010"/>
      <w:bookmarkEnd w:id="77"/>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79" w:name="ref-Ali1996"/>
      <w:bookmarkEnd w:id="78"/>
      <w:r>
        <w:t xml:space="preserve">22. </w:t>
      </w:r>
      <w:r>
        <w:tab/>
        <w:t xml:space="preserve">Ali, J. </w:t>
      </w:r>
      <w:r>
        <w:rPr>
          <w:i/>
          <w:iCs/>
        </w:rPr>
        <w:t>et al.</w:t>
      </w:r>
      <w:r>
        <w:t xml:space="preserve"> </w:t>
      </w:r>
      <w:hyperlink r:id="rId23">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80" w:name="ref-Ali1999"/>
      <w:bookmarkEnd w:id="79"/>
      <w:r>
        <w:t xml:space="preserve">23. </w:t>
      </w:r>
      <w:r>
        <w:tab/>
        <w:t xml:space="preserve">Ali, J. </w:t>
      </w:r>
      <w:r>
        <w:rPr>
          <w:i/>
          <w:iCs/>
        </w:rPr>
        <w:t>et al.</w:t>
      </w:r>
      <w:r>
        <w:t xml:space="preserve"> </w:t>
      </w:r>
      <w:hyperlink r:id="rId24">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56"/>
      <w:bookmarkEnd w:id="58"/>
      <w:bookmarkEnd w:id="80"/>
    </w:p>
    <w:sectPr w:rsidR="006E6516">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EA64F" w14:textId="77777777" w:rsidR="003A5A4F" w:rsidRDefault="003A5A4F">
      <w:pPr>
        <w:spacing w:after="0"/>
      </w:pPr>
      <w:r>
        <w:separator/>
      </w:r>
    </w:p>
  </w:endnote>
  <w:endnote w:type="continuationSeparator" w:id="0">
    <w:p w14:paraId="659DBD5C" w14:textId="77777777" w:rsidR="003A5A4F" w:rsidRDefault="003A5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CFF4" w14:textId="77777777" w:rsidR="003A5A4F" w:rsidRDefault="003A5A4F">
      <w:r>
        <w:separator/>
      </w:r>
    </w:p>
  </w:footnote>
  <w:footnote w:type="continuationSeparator" w:id="0">
    <w:p w14:paraId="6BF5F570" w14:textId="77777777" w:rsidR="003A5A4F" w:rsidRDefault="003A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6516"/>
    <w:rsid w:val="003A5A4F"/>
    <w:rsid w:val="003E55D6"/>
    <w:rsid w:val="006E6516"/>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20)30925-9" TargetMode="External"/><Relationship Id="rId13" Type="http://schemas.openxmlformats.org/officeDocument/2006/relationships/hyperlink" Target="https://doi.org/10.1136/bmj.j3064" TargetMode="External"/><Relationship Id="rId18" Type="http://schemas.openxmlformats.org/officeDocument/2006/relationships/hyperlink" Target="https://doi.org/10.3310/hta171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00268-014-2899-y" TargetMode="External"/><Relationship Id="rId7" Type="http://schemas.openxmlformats.org/officeDocument/2006/relationships/image" Target="media/image1.png"/><Relationship Id="rId12" Type="http://schemas.openxmlformats.org/officeDocument/2006/relationships/hyperlink" Target="https://doi.org/10.1007/s00268-021-06065-9" TargetMode="External"/><Relationship Id="rId17" Type="http://schemas.openxmlformats.org/officeDocument/2006/relationships/hyperlink" Target="https://doi.org/10.1136/bmjopen-2021-0575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86/1471-2288-14-41" TargetMode="External"/><Relationship Id="rId20" Type="http://schemas.openxmlformats.org/officeDocument/2006/relationships/hyperlink" Target="https://doi.org/10.1177/14604086166724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njury.2019.10.084" TargetMode="External"/><Relationship Id="rId24" Type="http://schemas.openxmlformats.org/officeDocument/2006/relationships/hyperlink" Target="https://doi.org/10.1097/00005373-199901000-00013" TargetMode="External"/><Relationship Id="rId5" Type="http://schemas.openxmlformats.org/officeDocument/2006/relationships/footnotes" Target="footnotes.xml"/><Relationship Id="rId15" Type="http://schemas.openxmlformats.org/officeDocument/2006/relationships/hyperlink" Target="https://doi.org/10.1136/bmj.j3453" TargetMode="External"/><Relationship Id="rId23" Type="http://schemas.openxmlformats.org/officeDocument/2006/relationships/hyperlink" Target="https://doi.org/10.1007/s002689900171" TargetMode="External"/><Relationship Id="rId10" Type="http://schemas.openxmlformats.org/officeDocument/2006/relationships/hyperlink" Target="https://doi.org/10.1002/14651858.cd004173.pub4" TargetMode="External"/><Relationship Id="rId19" Type="http://schemas.openxmlformats.org/officeDocument/2006/relationships/hyperlink" Target="https://doi.org/10.1016/s0140-6736(16)30932-1" TargetMode="External"/><Relationship Id="rId4" Type="http://schemas.openxmlformats.org/officeDocument/2006/relationships/webSettings" Target="webSettings.xml"/><Relationship Id="rId9" Type="http://schemas.openxmlformats.org/officeDocument/2006/relationships/hyperlink" Target="https://doi.org/10.1007/s00268-013-2294-0" TargetMode="External"/><Relationship Id="rId14" Type="http://schemas.openxmlformats.org/officeDocument/2006/relationships/hyperlink" Target="https://doi.org/10.1007/s40719-018-0127-1" TargetMode="External"/><Relationship Id="rId22" Type="http://schemas.openxmlformats.org/officeDocument/2006/relationships/hyperlink" Target="https://doi.org/10.1017/s1049023x00006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5964</Words>
  <Characters>33997</Characters>
  <Application>Microsoft Office Word</Application>
  <DocSecurity>0</DocSecurity>
  <Lines>283</Lines>
  <Paragraphs>79</Paragraphs>
  <ScaleCrop>false</ScaleCrop>
  <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2</cp:revision>
  <dcterms:created xsi:type="dcterms:W3CDTF">2024-01-30T06:01:00Z</dcterms:created>
  <dcterms:modified xsi:type="dcterms:W3CDTF">2024-02-02T09:38:00Z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