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Programs</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2" w:name="corresponding-author"/>
    <w:p>
      <w:pPr>
        <w:pStyle w:val="Heading2"/>
      </w:pPr>
      <w:r>
        <w:t xml:space="preserve">Corresponding author</w:t>
      </w:r>
    </w:p>
    <w:p>
      <w:pPr>
        <w:pStyle w:val="FirstParagraph"/>
      </w:pPr>
      <w:r>
        <w:t xml:space="preserve">Martin Gerdin Wärnberg (MGW)</w:t>
      </w:r>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1">
        <w:r>
          <w:rPr>
            <w:rStyle w:val="InternetLink"/>
          </w:rPr>
          <w:t xml:space="preserve">martin.gerdin@ki.se</w:t>
        </w:r>
      </w:hyperlink>
      <w:r>
        <w:br/>
      </w:r>
      <w:r>
        <w:t xml:space="preserve">+46 708 53 95 98 (mobile)</w:t>
      </w:r>
    </w:p>
    <w:bookmarkEnd w:id="22"/>
    <w:bookmarkStart w:id="36" w:name="authors"/>
    <w:p>
      <w:pPr>
        <w:pStyle w:val="Heading2"/>
      </w:pPr>
      <w:r>
        <w:t xml:space="preserve">Authors</w:t>
      </w:r>
    </w:p>
    <w:bookmarkStart w:id="23" w:name="johanna-berg-jb"/>
    <w:p>
      <w:pPr>
        <w:pStyle w:val="Heading5"/>
      </w:pPr>
      <w:r>
        <w:t xml:space="preserve">Johanna Berg (JB)</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23"/>
    <w:bookmarkStart w:id="24"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24"/>
    <w:bookmarkStart w:id="25"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25"/>
    <w:bookmarkStart w:id="26"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26"/>
    <w:bookmarkStart w:id="27"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27"/>
    <w:bookmarkStart w:id="28"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28"/>
    <w:bookmarkStart w:id="29"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TextBody"/>
      </w:pPr>
      <w:r>
        <w:t xml:space="preserve">Department of Global Public Health, Karolinska Institutet, Stockholm, Sweden.</w:t>
      </w:r>
    </w:p>
    <w:bookmarkEnd w:id="29"/>
    <w:bookmarkStart w:id="30" w:name="rajdeep-singh-rs"/>
    <w:p>
      <w:pPr>
        <w:pStyle w:val="Heading5"/>
      </w:pPr>
      <w:r>
        <w:t xml:space="preserve">Rajdeep Singh (RS)</w:t>
      </w:r>
    </w:p>
    <w:p>
      <w:pPr>
        <w:pStyle w:val="FirstParagraph"/>
      </w:pPr>
      <w:r>
        <w:t xml:space="preserve">Department of Surgery, Maulana Azad Medical College, New Delhi, India.</w:t>
      </w:r>
    </w:p>
    <w:bookmarkEnd w:id="30"/>
    <w:bookmarkStart w:id="31"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1"/>
    <w:bookmarkStart w:id="32" w:name="lovisa-strömmer-ls"/>
    <w:p>
      <w:pPr>
        <w:pStyle w:val="Heading5"/>
      </w:pPr>
      <w:r>
        <w:t xml:space="preserve">Lovisa Strömmer (LS)</w:t>
      </w:r>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32"/>
    <w:bookmarkStart w:id="33" w:name="vipul-nandu"/>
    <w:p>
      <w:pPr>
        <w:pStyle w:val="Heading5"/>
      </w:pPr>
      <w:r>
        <w:t xml:space="preserve">Vipul Nandu</w:t>
      </w:r>
    </w:p>
    <w:p>
      <w:pPr>
        <w:pStyle w:val="FirstParagraph"/>
      </w:pPr>
      <w:r>
        <w:t xml:space="preserve">Department of Surgery, HBT Medical College And Dr. R N Cooper Municipal General Hospital, Mumbai, India.</w:t>
      </w:r>
    </w:p>
    <w:bookmarkEnd w:id="33"/>
    <w:bookmarkStart w:id="34"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34"/>
    <w:bookmarkStart w:id="35" w:name="tamal-khan"/>
    <w:p>
      <w:pPr>
        <w:pStyle w:val="Heading5"/>
      </w:pPr>
      <w:r>
        <w:t xml:space="preserve">Tamal Khan</w:t>
      </w:r>
    </w:p>
    <w:bookmarkEnd w:id="35"/>
    <w:bookmarkEnd w:id="36"/>
    <w:bookmarkStart w:id="52" w:name="non-author-contributors"/>
    <w:p>
      <w:pPr>
        <w:pStyle w:val="Heading2"/>
      </w:pPr>
      <w:r>
        <w:t xml:space="preserve">Non-author contributors</w:t>
      </w:r>
    </w:p>
    <w:p>
      <w:pPr>
        <w:pStyle w:val="FirstParagraph"/>
      </w:pPr>
      <w:r>
        <w:t xml:space="preserve">Trauma life support Effectiveness Research Network (TERN) collaborators:</w:t>
      </w:r>
    </w:p>
    <w:bookmarkStart w:id="3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37"/>
    <w:bookmarkStart w:id="38" w:name="anirban-chatterjee-ac"/>
    <w:p>
      <w:pPr>
        <w:pStyle w:val="Heading5"/>
      </w:pPr>
      <w:r>
        <w:t xml:space="preserve">Anirban Chatterjee (AC)</w:t>
      </w:r>
    </w:p>
    <w:p>
      <w:pPr>
        <w:pStyle w:val="FirstParagraph"/>
      </w:pPr>
      <w:r>
        <w:t xml:space="preserve">Department of Orthopaedic Sciences, Medica Superspecialty Hospital, Kolkata, India.</w:t>
      </w:r>
    </w:p>
    <w:bookmarkEnd w:id="38"/>
    <w:bookmarkStart w:id="39" w:name="chintamani-c"/>
    <w:p>
      <w:pPr>
        <w:pStyle w:val="Heading5"/>
      </w:pPr>
      <w:r>
        <w:t xml:space="preserve">Chintamani (C)</w:t>
      </w:r>
    </w:p>
    <w:p>
      <w:pPr>
        <w:pStyle w:val="FirstParagraph"/>
      </w:pPr>
      <w:r>
        <w:t xml:space="preserve">Department of Surgery, Vardhman Mahavir Medical College and Safdarjung Hospital, New Delhi, India.</w:t>
      </w:r>
    </w:p>
    <w:bookmarkEnd w:id="39"/>
    <w:bookmarkStart w:id="40" w:name="anita-gadgil-ag"/>
    <w:p>
      <w:pPr>
        <w:pStyle w:val="Heading5"/>
      </w:pPr>
      <w:r>
        <w:t xml:space="preserve">Anita Gadgil (AG)</w:t>
      </w:r>
    </w:p>
    <w:p>
      <w:pPr>
        <w:pStyle w:val="FirstParagraph"/>
      </w:pPr>
      <w:r>
        <w:t xml:space="preserve">WHO collaboration Centre for Research in Surgical Care Delivery in LMIC, Mumbai, India.</w:t>
      </w:r>
    </w:p>
    <w:bookmarkEnd w:id="40"/>
    <w:bookmarkStart w:id="41" w:name="marie-hasselberg-mh"/>
    <w:p>
      <w:pPr>
        <w:pStyle w:val="Heading5"/>
      </w:pPr>
      <w:r>
        <w:t xml:space="preserve">Marie Hasselberg (MH)</w:t>
      </w:r>
    </w:p>
    <w:p>
      <w:pPr>
        <w:pStyle w:val="FirstParagraph"/>
      </w:pPr>
      <w:r>
        <w:t xml:space="preserve">Department of Global Public Health, Karolinska Institutet, Stockholm, Sweden.</w:t>
      </w:r>
    </w:p>
    <w:bookmarkEnd w:id="41"/>
    <w:bookmarkStart w:id="42" w:name="deepa-kizhakke-veetil-dkv"/>
    <w:p>
      <w:pPr>
        <w:pStyle w:val="Heading5"/>
      </w:pPr>
      <w:r>
        <w:t xml:space="preserve">Deepa Kizhakke Veetil (DKV)</w:t>
      </w:r>
    </w:p>
    <w:p>
      <w:pPr>
        <w:pStyle w:val="FirstParagraph"/>
      </w:pPr>
      <w:r>
        <w:t xml:space="preserve">Department of Surgery, Manipal Hospital, Dwarka, New Delhi.</w:t>
      </w:r>
    </w:p>
    <w:bookmarkEnd w:id="42"/>
    <w:bookmarkStart w:id="4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43"/>
    <w:bookmarkStart w:id="44" w:name="debabrata-kundu-dk"/>
    <w:p>
      <w:pPr>
        <w:pStyle w:val="Heading5"/>
      </w:pPr>
      <w:r>
        <w:t xml:space="preserve">Debabrata Kundu (DK)</w:t>
      </w:r>
    </w:p>
    <w:p>
      <w:pPr>
        <w:pStyle w:val="FirstParagraph"/>
      </w:pPr>
      <w:r>
        <w:t xml:space="preserve">Department of Surgery, Medical College Kolkata, Kolkata, India.</w:t>
      </w:r>
    </w:p>
    <w:bookmarkEnd w:id="44"/>
    <w:bookmarkStart w:id="45" w:name="anurag-mishra-am"/>
    <w:p>
      <w:pPr>
        <w:pStyle w:val="Heading5"/>
      </w:pPr>
      <w:r>
        <w:t xml:space="preserve">Anurag Mishra (AM)</w:t>
      </w:r>
    </w:p>
    <w:p>
      <w:pPr>
        <w:pStyle w:val="FirstParagraph"/>
      </w:pPr>
      <w:r>
        <w:t xml:space="preserve">Department of Surgery, Maulana Azad Medical College, New Delhi, India.</w:t>
      </w:r>
    </w:p>
    <w:bookmarkEnd w:id="45"/>
    <w:bookmarkStart w:id="46" w:name="priti-patil-pp"/>
    <w:p>
      <w:pPr>
        <w:pStyle w:val="Heading5"/>
      </w:pPr>
      <w:r>
        <w:t xml:space="preserve">Priti Patil (PP)</w:t>
      </w:r>
    </w:p>
    <w:p>
      <w:pPr>
        <w:pStyle w:val="FirstParagraph"/>
      </w:pPr>
      <w:r>
        <w:t xml:space="preserve">WHO collaboration Centre for Research in Surgical Care Delivery in LMIC, Mumbai, India.</w:t>
      </w:r>
    </w:p>
    <w:bookmarkEnd w:id="46"/>
    <w:bookmarkStart w:id="47" w:name="arun-prasad-ap"/>
    <w:p>
      <w:pPr>
        <w:pStyle w:val="Heading5"/>
      </w:pPr>
      <w:r>
        <w:t xml:space="preserve">Arun Prasad (AP)</w:t>
      </w:r>
    </w:p>
    <w:p>
      <w:pPr>
        <w:pStyle w:val="FirstParagraph"/>
      </w:pPr>
      <w:r>
        <w:t xml:space="preserve">Department of Surgery, Indraprastha Apollo Hospitals, New Delhi</w:t>
      </w:r>
    </w:p>
    <w:bookmarkEnd w:id="47"/>
    <w:bookmarkStart w:id="48" w:name="amit-roy-ar"/>
    <w:p>
      <w:pPr>
        <w:pStyle w:val="Heading5"/>
      </w:pPr>
      <w:r>
        <w:t xml:space="preserve">Amit Roy (AR)</w:t>
      </w:r>
    </w:p>
    <w:p>
      <w:pPr>
        <w:pStyle w:val="FirstParagraph"/>
      </w:pPr>
      <w:r>
        <w:t xml:space="preserve">Department of Surgery, Sir Nil Ratan Sircar Medical College &amp; Hospital, Kolkata, India.</w:t>
      </w:r>
    </w:p>
    <w:bookmarkEnd w:id="48"/>
    <w:bookmarkStart w:id="4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49"/>
    <w:bookmarkStart w:id="5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50"/>
    <w:bookmarkStart w:id="5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51"/>
    <w:bookmarkEnd w:id="52"/>
    <w:bookmarkStart w:id="53" w:name="keywords"/>
    <w:p>
      <w:pPr>
        <w:pStyle w:val="Heading2"/>
      </w:pPr>
      <w:r>
        <w:t xml:space="preserve">Keywords</w:t>
      </w:r>
    </w:p>
    <w:p>
      <w:pPr>
        <w:pStyle w:val="FirstParagraph"/>
      </w:pPr>
      <w:r>
        <w:t xml:space="preserve">Trauma management, Accident and emergency medicine, Education and training.</w:t>
      </w:r>
    </w:p>
    <w:bookmarkEnd w:id="53"/>
    <w:bookmarkStart w:id="5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54"/>
    <w:bookmarkStart w:id="55" w:name="abstract"/>
    <w:p>
      <w:pPr>
        <w:pStyle w:val="Heading1"/>
      </w:pPr>
      <w:r>
        <w:t xml:space="preserve">Abstract</w:t>
      </w:r>
    </w:p>
    <w:p>
      <w:pPr>
        <w:pStyle w:val="FirstParagraph"/>
      </w:pPr>
      <w:r>
        <w:rPr>
          <w:bCs/>
          <w:b/>
        </w:rPr>
        <w:t xml:space="preserve">Importance</w:t>
      </w:r>
      <w:r>
        <w:t xml:space="preserve"> </w:t>
      </w:r>
      <w:r>
        <w:t xml:space="preserve">Trauma life support training programmes aim to improve early trauma care but there is high-quality evidence to show that they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feasibility outcomes were consent rate, lost to follow up rate, pass rate, missing data rates, and differences in distribution between observed and data extracted from medical records. The primary patient outcome was all cause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patients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should be feasible after incorporating key lessons from this pilot.</w:t>
      </w:r>
    </w:p>
    <w:p>
      <w:pPr>
        <w:pStyle w:val="TextBody"/>
      </w:pPr>
      <w:r>
        <w:rPr>
          <w:bCs/>
          <w:b/>
        </w:rPr>
        <w:t xml:space="preserve">Trial Registration</w:t>
      </w:r>
      <w:r>
        <w:t xml:space="preserve"> </w:t>
      </w:r>
      <w:r>
        <w:t xml:space="preserve">ClinicalTrials.gov (reg. no NCT05417243)</w:t>
      </w:r>
    </w:p>
    <w:p>
      <w:r>
        <w:br w:type="page"/>
      </w:r>
    </w:p>
    <w:p>
      <w:r>
        <w:br w:type="page"/>
      </w:r>
    </w:p>
    <w:bookmarkEnd w:id="55"/>
    <w:bookmarkStart w:id="5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the most established trauma life support training programmes with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w:t>
      </w:r>
      <w:r>
        <w:rPr>
          <w:vertAlign w:val="superscript"/>
        </w:rPr>
        <w:t xml:space="preserve">2–4</w:t>
      </w:r>
      <w:r>
        <w:t xml:space="preserve">.</w:t>
      </w:r>
    </w:p>
    <w:p>
      <w:pPr>
        <w:pStyle w:val="TextBody"/>
      </w:pPr>
      <w:r>
        <w:t xml:space="preserve">Several studies, including at least two randomised controlled trials</w:t>
      </w:r>
      <w:r>
        <w:rPr>
          <w:vertAlign w:val="superscript"/>
        </w:rPr>
        <w:t xml:space="preserve">8,9</w:t>
      </w:r>
      <w:r>
        <w:t xml:space="preserve">, show that ATLS</w:t>
      </w:r>
      <w:r>
        <w:rPr>
          <w:vertAlign w:val="superscript"/>
        </w:rPr>
        <w:t xml:space="preserve">®</w:t>
      </w:r>
      <w:r>
        <w:t xml:space="preserve"> </w:t>
      </w:r>
      <w:r>
        <w:t xml:space="preserve">is associated with improved provider skills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how, and if, these improved skills translate into improved patient outcomes.</w:t>
      </w:r>
    </w:p>
    <w:p>
      <w:pPr>
        <w:pStyle w:val="TextBody"/>
      </w:pPr>
      <w:r>
        <w:t xml:space="preserve">Systematic reviews call for trials in settings where these programmes are not routinely implemented,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56"/>
    <w:bookmarkStart w:id="78" w:name="methods"/>
    <w:p>
      <w:pPr>
        <w:pStyle w:val="Heading1"/>
      </w:pPr>
      <w:r>
        <w:t xml:space="preserve">Methods</w:t>
      </w:r>
    </w:p>
    <w:bookmarkStart w:id="5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10</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57"/>
    <w:bookmarkStart w:id="58"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trauma life support training program is routinely taught.</w:t>
      </w:r>
    </w:p>
    <w:bookmarkEnd w:id="58"/>
    <w:bookmarkStart w:id="5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when they manage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59"/>
    <w:bookmarkStart w:id="6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programs during this pilot study.</w:t>
      </w:r>
    </w:p>
    <w:bookmarkEnd w:id="60"/>
    <w:bookmarkStart w:id="65" w:name="X7fa9f104419b836702429a89b65c3255ae3f510"/>
    <w:p>
      <w:pPr>
        <w:pStyle w:val="Heading2"/>
      </w:pPr>
      <w:r>
        <w:t xml:space="preserve">Eligibility Criteria for Cluster and Participants</w:t>
      </w:r>
    </w:p>
    <w:bookmarkStart w:id="6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61"/>
    <w:bookmarkStart w:id="6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62"/>
    <w:bookmarkStart w:id="63"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63"/>
    <w:bookmarkStart w:id="64" w:name="patients"/>
    <w:p>
      <w:pPr>
        <w:pStyle w:val="Heading3"/>
      </w:pPr>
      <w:r>
        <w:t xml:space="preserve">Patients</w:t>
      </w:r>
    </w:p>
    <w:p>
      <w:pPr>
        <w:pStyle w:val="FirstParagraph"/>
      </w:pPr>
      <w:r>
        <w:t xml:space="preserve">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64"/>
    <w:bookmarkEnd w:id="65"/>
    <w:bookmarkStart w:id="66" w:name="outcomes"/>
    <w:p>
      <w:pPr>
        <w:pStyle w:val="Heading2"/>
      </w:pPr>
      <w:r>
        <w:t xml:space="preserve">Outcomes</w:t>
      </w:r>
    </w:p>
    <w:p>
      <w:pPr>
        <w:pStyle w:val="FirstParagraph"/>
      </w:pPr>
      <w:r>
        <w:t xml:space="preserve">We measured a large number of outcomes to help plan and assess the feasibility of a full scale trial. A complete list of outcomes is available as Supplementary Materials.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whom did not complete 30 day follow up, out of all enrolled patients.</w:t>
      </w:r>
    </w:p>
    <w:p>
      <w:pPr>
        <w:numPr>
          <w:ilvl w:val="0"/>
          <w:numId w:val="1001"/>
        </w:numPr>
        <w:pStyle w:val="Compact"/>
      </w:pPr>
      <w:r>
        <w:t xml:space="preserve">Pass rate. This applied only to residents in the intervention arms and was equal the percentage of residents that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66"/>
    <w:bookmarkStart w:id="69" w:name="participant-timeline-and-inclusion"/>
    <w:p>
      <w:pPr>
        <w:pStyle w:val="Heading2"/>
      </w:pPr>
      <w:r>
        <w:t xml:space="preserve">Participant Timeline and Inclusion</w:t>
      </w:r>
    </w:p>
    <w:bookmarkStart w:id="6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67"/>
    <w:bookmarkStart w:id="6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68"/>
    <w:bookmarkEnd w:id="69"/>
    <w:bookmarkStart w:id="70" w:name="sample-size"/>
    <w:p>
      <w:pPr>
        <w:pStyle w:val="Heading2"/>
      </w:pPr>
      <w:r>
        <w:t xml:space="preserve">Sample size</w:t>
      </w:r>
    </w:p>
    <w:p>
      <w:pPr>
        <w:pStyle w:val="FirstParagraph"/>
      </w:pPr>
      <w:r>
        <w:t xml:space="preserve">We did not conduct a formal power calculation for this pilot study, as the primary aim was to assess feasibility. The time period was dictated by budget and time constraints.</w:t>
      </w:r>
    </w:p>
    <w:bookmarkEnd w:id="70"/>
    <w:bookmarkStart w:id="71" w:name="allocation-and-blincing"/>
    <w:p>
      <w:pPr>
        <w:pStyle w:val="Heading2"/>
      </w:pPr>
      <w:r>
        <w:t xml:space="preserve">Allocation and blincing</w:t>
      </w:r>
    </w:p>
    <w:p>
      <w:pPr>
        <w:pStyle w:val="FirstParagraph"/>
      </w:pPr>
      <w:r>
        <w:t xml:space="preserve">We used simple randomisation implemented using sealed envelopes to allocate sites to trial arms. We did not blind investigators, residents or patients to the interventions.</w:t>
      </w:r>
    </w:p>
    <w:bookmarkEnd w:id="71"/>
    <w:bookmarkStart w:id="7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bookmarkEnd w:id="72"/>
    <w:bookmarkStart w:id="7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For a subset of patients we also extracted data from medical records, to be able to compare their distributions with directly observed data.</w:t>
      </w:r>
    </w:p>
    <w:bookmarkEnd w:id="73"/>
    <w:bookmarkStart w:id="7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74"/>
    <w:bookmarkStart w:id="7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75"/>
    <w:bookmarkStart w:id="76" w:name="statistical-methods"/>
    <w:p>
      <w:pPr>
        <w:pStyle w:val="Heading2"/>
      </w:pPr>
      <w:r>
        <w:t xml:space="preserve">Statistical Methods</w:t>
      </w:r>
    </w:p>
    <w:p>
      <w:pPr>
        <w:pStyle w:val="FirstParagraph"/>
      </w:pPr>
      <w:r>
        <w:t xml:space="preserve">We analysed all data using descriptive statistics and did not perform any formal hypothesis</w:t>
      </w:r>
      <w:r>
        <w:rPr>
          <w:vertAlign w:val="superscript"/>
        </w:rPr>
        <w:t xml:space="preserve">11</w:t>
      </w:r>
      <w:r>
        <w:t xml:space="preserve">. Quantitative variables are summarised as mean +/- standard deviation, median, interquartile range and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w:t>
      </w:r>
    </w:p>
    <w:bookmarkEnd w:id="76"/>
    <w:bookmarkStart w:id="7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w:t>
      </w:r>
    </w:p>
    <w:bookmarkEnd w:id="77"/>
    <w:bookmarkEnd w:id="78"/>
    <w:bookmarkStart w:id="84" w:name="results"/>
    <w:p>
      <w:pPr>
        <w:pStyle w:val="Heading1"/>
      </w:pPr>
      <w:r>
        <w:t xml:space="preserve">Results</w:t>
      </w:r>
    </w:p>
    <w:p>
      <w:pPr>
        <w:pStyle w:val="FirstParagraph"/>
      </w:pPr>
      <w:r>
        <w:t xml:space="preserve">We enrolled 376 trauma patients from 7 participating centres between April 2022 and February 2023. The standard care arm 202 patients, the ATLS</w:t>
      </w:r>
      <w:r>
        <w:rPr>
          <w:vertAlign w:val="superscript"/>
        </w:rPr>
        <w:t xml:space="preserve">®</w:t>
      </w:r>
      <w:r>
        <w:t xml:space="preserve"> </w:t>
      </w:r>
      <w:r>
        <w:t xml:space="preserve">arm enrolled 44 patients, and the PTC arm 130 patients. We trained a total of 22 residents, 7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w:t>
      </w:r>
      <w:r>
        <w:t xml:space="preserve">. Overall, the number of females were 86 (23%), the median (IQR) age was 33 (24, 46) years, and the median ISS (IQR) was 1 (0, 5). A total of 32 (10%) patients died within 30 days after arrival to the emergency department.</w:t>
      </w:r>
    </w:p>
    <w:p>
      <w:pPr>
        <w:pStyle w:val="CaptionedFigure"/>
      </w:pPr>
      <w:r>
        <w:drawing>
          <wp:inline>
            <wp:extent cx="5943600" cy="2074497"/>
            <wp:effectExtent b="0" l="0" r="0" t="0"/>
            <wp:docPr descr="Figure 1: Study flow diagram. Abbreviations: ATLS, Advanced Trauma Life Support; PTC, Primary Trauma Care." title="" id="80" name="Picture"/>
            <a:graphic>
              <a:graphicData uri="http://schemas.openxmlformats.org/drawingml/2006/picture">
                <pic:pic>
                  <pic:nvPicPr>
                    <pic:cNvPr descr="consort-flow-diagram.png" id="81" name="Picture"/>
                    <pic:cNvPicPr>
                      <a:picLocks noChangeArrowheads="1" noChangeAspect="1"/>
                    </pic:cNvPicPr>
                  </pic:nvPicPr>
                  <pic:blipFill>
                    <a:blip r:embed="rId79"/>
                    <a:stretch>
                      <a:fillRect/>
                    </a:stretch>
                  </pic:blipFill>
                  <pic:spPr bwMode="auto">
                    <a:xfrm>
                      <a:off x="0" y="0"/>
                      <a:ext cx="5943600" cy="2074497"/>
                    </a:xfrm>
                    <a:prstGeom prst="rect">
                      <a:avLst/>
                    </a:prstGeom>
                    <a:noFill/>
                    <a:ln w="9525">
                      <a:noFill/>
                      <a:headEnd/>
                      <a:tailEnd/>
                    </a:ln>
                  </pic:spPr>
                </pic:pic>
              </a:graphicData>
            </a:graphic>
          </wp:inline>
        </w:drawing>
      </w:r>
    </w:p>
    <w:p>
      <w:pPr>
        <w:pStyle w:val="ImageCaption"/>
      </w:pPr>
      <w:bookmarkStart w:id="82" w:name="fig:flow-diagram"/>
      <w:bookmarkEnd w:id="82"/>
      <w:r>
        <w:t xml:space="preserve">Figure 1: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w:t>
            </w:r>
          </w:p>
        </w:tc>
      </w:tr>
    </w:tbl>
    <w:bookmarkStart w:id="83"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r>
        <w:t xml:space="preserve">(tab:sample-characteristics). The differences in distributions between observed data and data extracted from medical records, for selected variables that were collected through observation or interview, are shown in Table</w:t>
      </w:r>
      <w:r>
        <w:t xml:space="preserve"> </w:t>
      </w:r>
      <w:r>
        <w:t xml:space="preserve">(tab:observed-vs-extracted). Overall, the data were similarly distributed, but there were considerably more missing values in extracted data compared to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as shown in Table</w:t>
      </w:r>
      <w:r>
        <w:t xml:space="preserve"> </w:t>
      </w:r>
      <w:r>
        <w:t xml:space="preserve">??</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Materials.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83"/>
    <w:bookmarkEnd w:id="84"/>
    <w:bookmarkStart w:id="85"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cause of death and complications (reported in Supplementary materials) had very high missing data rates and may not be feasible to include in a full-scale trial, or require different data collection methods. Similarly, the missing data was substantially higher when data was extracted from medical records instead of being directly observed, but the data</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These findings hints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taken different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12,13</w:t>
      </w:r>
      <w:r>
        <w:t xml:space="preserve">. Like many other trauma trials, both CRASH-2 and REACT-2 used in-hospital mortality as their primary outcome measure, whereas we attempted to follow up patients after discharge. Our missing data rate for in-hospital mortality was only 1%,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minimised the impact of the lower than expected enrolment rates by including a seventh centre, but on-site observations of patient volumes are likely to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w:t>
      </w:r>
    </w:p>
    <w:p>
      <w:pPr>
        <w:pStyle w:val="TextBody"/>
      </w:pPr>
      <w:r>
        <w:t xml:space="preserve">Previous studies on the effect of in-hospital trauma life support training on patient outcomes are observational or quasi-experimental without a control group, with heterogeneous results</w:t>
      </w:r>
      <w:r>
        <w:rPr>
          <w:vertAlign w:val="superscript"/>
        </w:rPr>
        <w:t xml:space="preserve">14–18</w:t>
      </w:r>
      <w:r>
        <w:t xml:space="preserve">. Studies from Trinidad and Tobago, El Salvador, Rwanda, and Cambodia found no significant effect on patient mortality after implementing in-hospital trauma life support training</w:t>
      </w:r>
      <w:r>
        <w:rPr>
          <w:vertAlign w:val="superscript"/>
        </w:rPr>
        <w:t xml:space="preserve">14–17</w:t>
      </w:r>
      <w:r>
        <w:t xml:space="preserve">, whereas one study from China that included 820 patients found a significant reduction in mortality, from 20 to 15%, after implementing</w:t>
      </w:r>
      <w:r>
        <w:t xml:space="preserve"> </w:t>
      </w:r>
      <w:r>
        <w:t xml:space="preserve">ATLS</w:t>
      </w:r>
      <w:r>
        <w:rPr>
          <w:vertAlign w:val="superscript"/>
        </w:rPr>
        <w:t xml:space="preserve">®</w:t>
      </w:r>
      <w:r>
        <w:rPr>
          <w:vertAlign w:val="superscript"/>
        </w:rPr>
        <w:t xml:space="preserve">18</w:t>
      </w:r>
      <w:r>
        <w:t xml:space="preserve">.</w:t>
      </w:r>
    </w:p>
    <w:p>
      <w:pPr>
        <w:pStyle w:val="TextBody"/>
      </w:pPr>
      <w:r>
        <w:t xml:space="preserve">We conclude that conducting a full-scale cluster randomised trial should be feasible after incorporating the lessons of this pilot.</w:t>
      </w:r>
    </w:p>
    <w:bookmarkEnd w:id="85"/>
    <w:bookmarkStart w:id="86" w:name="contributorship-statement"/>
    <w:p>
      <w:pPr>
        <w:pStyle w:val="Heading1"/>
      </w:pPr>
      <w:r>
        <w:t xml:space="preserve">Contributorship statement</w:t>
      </w:r>
    </w:p>
    <w:bookmarkEnd w:id="86"/>
    <w:bookmarkStart w:id="8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87"/>
    <w:bookmarkStart w:id="8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88"/>
    <w:bookmarkStart w:id="89" w:name="data-sharing-statement"/>
    <w:p>
      <w:pPr>
        <w:pStyle w:val="Heading1"/>
      </w:pPr>
      <w:r>
        <w:t xml:space="preserve">Data Sharing Statement</w:t>
      </w:r>
    </w:p>
    <w:p>
      <w:pPr>
        <w:pStyle w:val="FirstParagraph"/>
      </w:pPr>
      <w:r>
        <w:t xml:space="preserve">The final anonymized dataset and code for analysis are released publicly.</w:t>
      </w:r>
    </w:p>
    <w:bookmarkEnd w:id="89"/>
    <w:bookmarkStart w:id="100" w:name="protocol-deviations"/>
    <w:p>
      <w:pPr>
        <w:pStyle w:val="Heading1"/>
      </w:pPr>
      <w:r>
        <w:t xml:space="preserve">Protocol Deviations</w:t>
      </w:r>
    </w:p>
    <w:bookmarkStart w:id="90" w:name="trial-registration-1"/>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90"/>
    <w:bookmarkStart w:id="91" w:name="outcomes-across-subgroups"/>
    <w:p>
      <w:pPr>
        <w:pStyle w:val="Heading2"/>
      </w:pPr>
      <w:r>
        <w:t xml:space="preserve">Outcomes across subgroups</w:t>
      </w:r>
    </w:p>
    <w:p>
      <w:pPr>
        <w:pStyle w:val="FirstParagraph"/>
      </w:pPr>
      <w:r>
        <w:t xml:space="preserve">Because of small numbers in the pre-specified subgroups we decided to report only descriptive data on these subgroups.</w:t>
      </w:r>
    </w:p>
    <w:bookmarkEnd w:id="91"/>
    <w:bookmarkStart w:id="92" w:name="number-of-participating-centres"/>
    <w:p>
      <w:pPr>
        <w:pStyle w:val="Heading2"/>
      </w:pPr>
      <w:r>
        <w:t xml:space="preserve">Number of Participating Centres</w:t>
      </w:r>
    </w:p>
    <w:p>
      <w:pPr>
        <w:pStyle w:val="FirstParagraph"/>
      </w:pPr>
      <w:r>
        <w:t xml:space="preserve">We ended up recruiting seven centres instead of six and therefore assigned two centres each to the intervention arms and three centres to the control arm.</w:t>
      </w:r>
    </w:p>
    <w:bookmarkEnd w:id="92"/>
    <w:bookmarkStart w:id="93" w:name="resident-participants"/>
    <w:p>
      <w:pPr>
        <w:pStyle w:val="Heading2"/>
      </w:pPr>
      <w:r>
        <w:t xml:space="preserve">Resident Participants</w:t>
      </w:r>
    </w:p>
    <w:p>
      <w:pPr>
        <w:pStyle w:val="FirstParagraph"/>
      </w:pPr>
      <w:r>
        <w:t xml:space="preserve">Emergency medicine in addition to surgery.</w:t>
      </w:r>
    </w:p>
    <w:bookmarkEnd w:id="93"/>
    <w:bookmarkStart w:id="94"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94"/>
    <w:bookmarkStart w:id="95"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95"/>
    <w:bookmarkStart w:id="96"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96"/>
    <w:bookmarkStart w:id="97"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97"/>
    <w:bookmarkStart w:id="98" w:name="timing-of-resident-consent"/>
    <w:p>
      <w:pPr>
        <w:pStyle w:val="Heading2"/>
      </w:pPr>
      <w:r>
        <w:t xml:space="preserve">Timing of resident consent</w:t>
      </w:r>
    </w:p>
    <w:p>
      <w:pPr>
        <w:pStyle w:val="FirstParagraph"/>
      </w:pPr>
      <w:r>
        <w:t xml:space="preserve">We had initially planned to ask residents for consent before</w:t>
      </w:r>
      <w:r>
        <w:t xml:space="preserve"> </w:t>
      </w:r>
      <w:r>
        <w:t xml:space="preserve">randomisation, but this was not possible because of logistical issues the units were only finalised after the hospitals had been randomised. Residents were therefore approached for consent after randomisation but before training.</w:t>
      </w:r>
    </w:p>
    <w:bookmarkEnd w:id="98"/>
    <w:bookmarkStart w:id="99"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w:t>
      </w:r>
    </w:p>
    <w:p>
      <w:r>
        <w:br w:type="page"/>
      </w:r>
    </w:p>
    <w:bookmarkEnd w:id="99"/>
    <w:bookmarkEnd w:id="100"/>
    <w:bookmarkStart w:id="101" w:name="supplementary-material"/>
    <w:p>
      <w:pPr>
        <w:pStyle w:val="Heading1"/>
      </w:pPr>
      <w:r>
        <w:t xml:space="preserve">Supplementary material</w:t>
      </w:r>
    </w:p>
    <w:bookmarkEnd w:id="101"/>
    <w:bookmarkStart w:id="135" w:name="references"/>
    <w:p>
      <w:pPr>
        <w:pStyle w:val="Heading1"/>
      </w:pPr>
      <w:r>
        <w:t xml:space="preserve">References</w:t>
      </w:r>
    </w:p>
    <w:bookmarkStart w:id="134" w:name="refs"/>
    <w:bookmarkStart w:id="103" w:name="ref-injuries2020"/>
    <w:p>
      <w:pPr>
        <w:pStyle w:val="Bibliography"/>
      </w:pPr>
      <w:r>
        <w:t xml:space="preserve">1.</w:t>
      </w:r>
      <w:r>
        <w:t xml:space="preserve"> </w:t>
      </w:r>
      <w:r>
        <w:t xml:space="preserve">	</w:t>
      </w:r>
      <w:r>
        <w:t xml:space="preserve">GBD 2019 Diseases and Injuries Collaborators.</w:t>
      </w:r>
      <w:r>
        <w:t xml:space="preserve"> </w:t>
      </w:r>
      <w:hyperlink r:id="rId102">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03"/>
    <w:bookmarkStart w:id="105"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04">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05"/>
    <w:bookmarkStart w:id="107"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06">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07"/>
    <w:bookmarkStart w:id="109"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08">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09"/>
    <w:bookmarkStart w:id="110"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10"/>
    <w:bookmarkStart w:id="111"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11"/>
    <w:bookmarkStart w:id="113"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12">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13"/>
    <w:bookmarkStart w:id="115" w:name="ref-Ali1996"/>
    <w:p>
      <w:pPr>
        <w:pStyle w:val="Bibliography"/>
      </w:pPr>
      <w:r>
        <w:t xml:space="preserve">8.</w:t>
      </w:r>
      <w:r>
        <w:t xml:space="preserve"> </w:t>
      </w:r>
      <w:r>
        <w:t xml:space="preserve">	</w:t>
      </w:r>
      <w:r>
        <w:t xml:space="preserve">Ali, J.</w:t>
      </w:r>
      <w:r>
        <w:t xml:space="preserve"> </w:t>
      </w:r>
      <w:r>
        <w:rPr>
          <w:iCs/>
          <w:i/>
        </w:rPr>
        <w:t xml:space="preserve">et al.</w:t>
      </w:r>
      <w:r>
        <w:t xml:space="preserve"> </w:t>
      </w:r>
      <w:hyperlink r:id="rId114">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15"/>
    <w:bookmarkStart w:id="117" w:name="ref-Ali1999"/>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16">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17"/>
    <w:bookmarkStart w:id="119" w:name="ref-GerdinWärnberg2022"/>
    <w:p>
      <w:pPr>
        <w:pStyle w:val="Bibliography"/>
      </w:pPr>
      <w:r>
        <w:t xml:space="preserve">10.</w:t>
      </w:r>
      <w:r>
        <w:t xml:space="preserve"> </w:t>
      </w:r>
      <w:r>
        <w:t xml:space="preserve">	</w:t>
      </w:r>
      <w:r>
        <w:t xml:space="preserve">Gerdin Wärnberg, M.</w:t>
      </w:r>
      <w:r>
        <w:t xml:space="preserve"> </w:t>
      </w:r>
      <w:r>
        <w:rPr>
          <w:iCs/>
          <w:i/>
        </w:rPr>
        <w:t xml:space="preserve">et al.</w:t>
      </w:r>
      <w:r>
        <w:t xml:space="preserve"> </w:t>
      </w:r>
      <w:hyperlink r:id="rId118">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19"/>
    <w:bookmarkStart w:id="121" w:name="ref-Lee2014"/>
    <w:p>
      <w:pPr>
        <w:pStyle w:val="Bibliography"/>
      </w:pPr>
      <w:r>
        <w:t xml:space="preserve">11.</w:t>
      </w:r>
      <w:r>
        <w:t xml:space="preserve"> </w:t>
      </w:r>
      <w:r>
        <w:t xml:space="preserve">	</w:t>
      </w:r>
      <w:r>
        <w:t xml:space="preserve">Lee, E. C.</w:t>
      </w:r>
      <w:r>
        <w:t xml:space="preserve"> </w:t>
      </w:r>
      <w:r>
        <w:rPr>
          <w:iCs/>
          <w:i/>
        </w:rPr>
        <w:t xml:space="preserve">et al.</w:t>
      </w:r>
      <w:r>
        <w:t xml:space="preserve"> </w:t>
      </w:r>
      <w:hyperlink r:id="rId120">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21"/>
    <w:bookmarkStart w:id="123" w:name="ref-Roberts2013"/>
    <w:p>
      <w:pPr>
        <w:pStyle w:val="Bibliography"/>
      </w:pPr>
      <w:r>
        <w:t xml:space="preserve">12.</w:t>
      </w:r>
      <w:r>
        <w:t xml:space="preserve"> </w:t>
      </w:r>
      <w:r>
        <w:t xml:space="preserve">	</w:t>
      </w:r>
      <w:r>
        <w:t xml:space="preserve">Roberts, I.</w:t>
      </w:r>
      <w:r>
        <w:t xml:space="preserve"> </w:t>
      </w:r>
      <w:r>
        <w:rPr>
          <w:iCs/>
          <w:i/>
        </w:rPr>
        <w:t xml:space="preserve">et al.</w:t>
      </w:r>
      <w:r>
        <w:t xml:space="preserve"> </w:t>
      </w:r>
      <w:hyperlink r:id="rId122">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23"/>
    <w:bookmarkStart w:id="125" w:name="ref-Sierink2016"/>
    <w:p>
      <w:pPr>
        <w:pStyle w:val="Bibliography"/>
      </w:pPr>
      <w:r>
        <w:t xml:space="preserve">13.</w:t>
      </w:r>
      <w:r>
        <w:t xml:space="preserve"> </w:t>
      </w:r>
      <w:r>
        <w:t xml:space="preserve">	</w:t>
      </w:r>
      <w:r>
        <w:t xml:space="preserve">Sierink, J. C.</w:t>
      </w:r>
      <w:r>
        <w:t xml:space="preserve"> </w:t>
      </w:r>
      <w:r>
        <w:rPr>
          <w:iCs/>
          <w:i/>
        </w:rPr>
        <w:t xml:space="preserve">et al.</w:t>
      </w:r>
      <w:r>
        <w:t xml:space="preserve"> </w:t>
      </w:r>
      <w:hyperlink r:id="rId124">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25"/>
    <w:bookmarkStart w:id="126" w:name="ref-Ariyanayagam1992"/>
    <w:p>
      <w:pPr>
        <w:pStyle w:val="Bibliography"/>
      </w:pPr>
      <w:r>
        <w:t xml:space="preserve">14.</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26"/>
    <w:bookmarkStart w:id="128" w:name="ref-CioèPeña2016"/>
    <w:p>
      <w:pPr>
        <w:pStyle w:val="Bibliography"/>
      </w:pPr>
      <w:r>
        <w:t xml:space="preserve">15.</w:t>
      </w:r>
      <w:r>
        <w:t xml:space="preserve"> </w:t>
      </w:r>
      <w:r>
        <w:t xml:space="preserve">	</w:t>
      </w:r>
      <w:r>
        <w:t xml:space="preserve">Cioè-Peña, E.</w:t>
      </w:r>
      <w:r>
        <w:t xml:space="preserve"> </w:t>
      </w:r>
      <w:r>
        <w:rPr>
          <w:iCs/>
          <w:i/>
        </w:rPr>
        <w:t xml:space="preserve">et al.</w:t>
      </w:r>
      <w:r>
        <w:t xml:space="preserve"> </w:t>
      </w:r>
      <w:hyperlink r:id="rId127">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28"/>
    <w:bookmarkStart w:id="130"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29">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30"/>
    <w:bookmarkStart w:id="132" w:name="ref-VanHeng2008"/>
    <w:p>
      <w:pPr>
        <w:pStyle w:val="Bibliography"/>
      </w:pPr>
      <w:r>
        <w:t xml:space="preserve">17.</w:t>
      </w:r>
      <w:r>
        <w:t xml:space="preserve"> </w:t>
      </w:r>
      <w:r>
        <w:t xml:space="preserve">	</w:t>
      </w:r>
      <w:r>
        <w:t xml:space="preserve">Van Heng, Y.</w:t>
      </w:r>
      <w:r>
        <w:t xml:space="preserve"> </w:t>
      </w:r>
      <w:r>
        <w:rPr>
          <w:iCs/>
          <w:i/>
        </w:rPr>
        <w:t xml:space="preserve">et al.</w:t>
      </w:r>
      <w:r>
        <w:t xml:space="preserve"> </w:t>
      </w:r>
      <w:hyperlink r:id="rId131">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32"/>
    <w:bookmarkStart w:id="133" w:name="ref-Wang2010"/>
    <w:p>
      <w:pPr>
        <w:pStyle w:val="Bibliography"/>
      </w:pPr>
      <w:r>
        <w:t xml:space="preserve">18.</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33"/>
    <w:bookmarkEnd w:id="134"/>
    <w:bookmarkEnd w:id="13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102" Target="" TargetMode="External" /><Relationship Type="http://schemas.openxmlformats.org/officeDocument/2006/relationships/hyperlink" Id="rId106" Target="https://doi.org/10.1002/14651858.cd004173.pub4" TargetMode="External" /><Relationship Type="http://schemas.openxmlformats.org/officeDocument/2006/relationships/hyperlink" Id="rId104" Target="https://doi.org/10.1007/s00268-013-2294-0" TargetMode="External" /><Relationship Type="http://schemas.openxmlformats.org/officeDocument/2006/relationships/hyperlink" Id="rId129" Target="https://doi.org/10.1007/s00268-014-2899-y" TargetMode="External" /><Relationship Type="http://schemas.openxmlformats.org/officeDocument/2006/relationships/hyperlink" Id="rId112" Target="https://doi.org/10.1007/s00268-021-06065-9" TargetMode="External" /><Relationship Type="http://schemas.openxmlformats.org/officeDocument/2006/relationships/hyperlink" Id="rId114" Target="https://doi.org/10.1007/s002689900171" TargetMode="External" /><Relationship Type="http://schemas.openxmlformats.org/officeDocument/2006/relationships/hyperlink" Id="rId108" Target="https://doi.org/10.1016/j.injury.2019.10.084" TargetMode="External" /><Relationship Type="http://schemas.openxmlformats.org/officeDocument/2006/relationships/hyperlink" Id="rId124" Target="https://doi.org/10.1016/s0140-6736(16)30932-1" TargetMode="External" /><Relationship Type="http://schemas.openxmlformats.org/officeDocument/2006/relationships/hyperlink" Id="rId131" Target="https://doi.org/10.1017/s1049023x00006282" TargetMode="External" /><Relationship Type="http://schemas.openxmlformats.org/officeDocument/2006/relationships/hyperlink" Id="rId11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27" Target="https://doi.org/10.1177/1460408616672491" TargetMode="External" /><Relationship Type="http://schemas.openxmlformats.org/officeDocument/2006/relationships/hyperlink" Id="rId120" Target="https://doi.org/10.1186/1471-2288-14-41" TargetMode="External" /><Relationship Type="http://schemas.openxmlformats.org/officeDocument/2006/relationships/hyperlink" Id="rId122" Target="https://doi.org/10.3310/hta17100" TargetMode="External" /><Relationship Type="http://schemas.openxmlformats.org/officeDocument/2006/relationships/hyperlink" Id="rId21"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106" Target="https://doi.org/10.1002/14651858.cd004173.pub4" TargetMode="External" /><Relationship Type="http://schemas.openxmlformats.org/officeDocument/2006/relationships/hyperlink" Id="rId104" Target="https://doi.org/10.1007/s00268-013-2294-0" TargetMode="External" /><Relationship Type="http://schemas.openxmlformats.org/officeDocument/2006/relationships/hyperlink" Id="rId129" Target="https://doi.org/10.1007/s00268-014-2899-y" TargetMode="External" /><Relationship Type="http://schemas.openxmlformats.org/officeDocument/2006/relationships/hyperlink" Id="rId112" Target="https://doi.org/10.1007/s00268-021-06065-9" TargetMode="External" /><Relationship Type="http://schemas.openxmlformats.org/officeDocument/2006/relationships/hyperlink" Id="rId114" Target="https://doi.org/10.1007/s002689900171" TargetMode="External" /><Relationship Type="http://schemas.openxmlformats.org/officeDocument/2006/relationships/hyperlink" Id="rId108" Target="https://doi.org/10.1016/j.injury.2019.10.084" TargetMode="External" /><Relationship Type="http://schemas.openxmlformats.org/officeDocument/2006/relationships/hyperlink" Id="rId124" Target="https://doi.org/10.1016/s0140-6736(16)30932-1" TargetMode="External" /><Relationship Type="http://schemas.openxmlformats.org/officeDocument/2006/relationships/hyperlink" Id="rId131" Target="https://doi.org/10.1017/s1049023x00006282" TargetMode="External" /><Relationship Type="http://schemas.openxmlformats.org/officeDocument/2006/relationships/hyperlink" Id="rId116" Target="https://doi.org/10.1097/00005373-199901000-00013" TargetMode="External" /><Relationship Type="http://schemas.openxmlformats.org/officeDocument/2006/relationships/hyperlink" Id="rId118" Target="https://doi.org/10.1136/bmjopen-2021-057504" TargetMode="External" /><Relationship Type="http://schemas.openxmlformats.org/officeDocument/2006/relationships/hyperlink" Id="rId127" Target="https://doi.org/10.1177/1460408616672491" TargetMode="External" /><Relationship Type="http://schemas.openxmlformats.org/officeDocument/2006/relationships/hyperlink" Id="rId120" Target="https://doi.org/10.1186/1471-2288-14-41" TargetMode="External" /><Relationship Type="http://schemas.openxmlformats.org/officeDocument/2006/relationships/hyperlink" Id="rId122" Target="https://doi.org/10.3310/hta17100" TargetMode="External" /><Relationship Type="http://schemas.openxmlformats.org/officeDocument/2006/relationships/hyperlink" Id="rId21"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Trauma Life Support Training Programs on Patient Outcomes: A Pilot Cluster Randomised Trial</dc:title>
  <dc:creator>Trauma life support training Effectiveness Research Network (TERN) collaborators</dc:creator>
  <cp:keywords/>
  <dcterms:created xsi:type="dcterms:W3CDTF">2024-10-09T03:17:52Z</dcterms:created>
  <dcterms:modified xsi:type="dcterms:W3CDTF">2024-10-09T03:17:52Z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