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1100" w14:textId="77777777" w:rsidR="00CD1E8B" w:rsidRPr="005C7A78" w:rsidRDefault="00BC0633" w:rsidP="00112486">
      <w:pPr>
        <w:pStyle w:val="Heading1"/>
      </w:pPr>
      <w:r>
        <w:t>OVERVIEW AND SUMMARY</w:t>
      </w:r>
    </w:p>
    <w:tbl>
      <w:tblPr>
        <w:tblpPr w:leftFromText="141" w:rightFromText="141" w:vertAnchor="text" w:horzAnchor="margin" w:tblpY="12"/>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89"/>
        <w:gridCol w:w="1134"/>
        <w:gridCol w:w="2126"/>
        <w:gridCol w:w="992"/>
        <w:gridCol w:w="1701"/>
        <w:gridCol w:w="1701"/>
      </w:tblGrid>
      <w:tr w:rsidR="00841497" w:rsidRPr="0052584F" w14:paraId="632967DA" w14:textId="77777777" w:rsidTr="00D134AA">
        <w:trPr>
          <w:trHeight w:val="535"/>
        </w:trPr>
        <w:tc>
          <w:tcPr>
            <w:tcW w:w="2689"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20160AD1" w14:textId="77777777" w:rsidR="00F92BDF" w:rsidRDefault="00000000">
            <w:r>
              <w:t>Counterparty</w:t>
            </w:r>
          </w:p>
        </w:tc>
        <w:tc>
          <w:tcPr>
            <w:tcW w:w="1134" w:type="dxa"/>
            <w:tcBorders>
              <w:top w:val="single" w:sz="4" w:space="0" w:color="auto"/>
              <w:left w:val="single" w:sz="4" w:space="0" w:color="auto"/>
              <w:bottom w:val="single" w:sz="4" w:space="0" w:color="auto"/>
              <w:right w:val="single" w:sz="4" w:space="0" w:color="auto"/>
            </w:tcBorders>
            <w:shd w:val="clear" w:color="auto" w:fill="CCFFFF"/>
            <w:vAlign w:val="center"/>
          </w:tcPr>
          <w:p w14:paraId="08A9A7EE" w14:textId="77777777" w:rsidR="00F92BDF" w:rsidRDefault="00000000">
            <w:r>
              <w:t>Character</w:t>
            </w:r>
          </w:p>
        </w:tc>
        <w:tc>
          <w:tcPr>
            <w:tcW w:w="2126" w:type="dxa"/>
            <w:tcBorders>
              <w:top w:val="single" w:sz="4" w:space="0" w:color="auto"/>
              <w:left w:val="single" w:sz="4" w:space="0" w:color="auto"/>
              <w:bottom w:val="single" w:sz="4" w:space="0" w:color="auto"/>
              <w:right w:val="single" w:sz="4" w:space="0" w:color="auto"/>
            </w:tcBorders>
            <w:shd w:val="clear" w:color="auto" w:fill="CCFFFF"/>
            <w:vAlign w:val="center"/>
          </w:tcPr>
          <w:p w14:paraId="6F9C0B2F" w14:textId="77777777" w:rsidR="00F92BDF" w:rsidRDefault="00000000">
            <w:r>
              <w:t>Activity</w:t>
            </w:r>
          </w:p>
        </w:tc>
        <w:tc>
          <w:tcPr>
            <w:tcW w:w="992" w:type="dxa"/>
            <w:tcBorders>
              <w:top w:val="single" w:sz="4" w:space="0" w:color="auto"/>
              <w:left w:val="single" w:sz="4" w:space="0" w:color="auto"/>
              <w:bottom w:val="single" w:sz="4" w:space="0" w:color="auto"/>
              <w:right w:val="single" w:sz="4" w:space="0" w:color="auto"/>
            </w:tcBorders>
            <w:shd w:val="clear" w:color="auto" w:fill="CCFFFF"/>
            <w:vAlign w:val="center"/>
          </w:tcPr>
          <w:p w14:paraId="5065ECFB" w14:textId="32EE1FBC" w:rsidR="00F92BDF" w:rsidRDefault="00876454">
            <w:r>
              <w:t>ID No</w:t>
            </w:r>
            <w:r w:rsidR="00DB4418">
              <w:t>.</w:t>
            </w:r>
          </w:p>
        </w:tc>
        <w:tc>
          <w:tcPr>
            <w:tcW w:w="170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71412A07" w14:textId="77777777" w:rsidR="00F92BDF" w:rsidRDefault="00000000">
            <w:r>
              <w:t>Previous rating (B/S date)</w:t>
            </w:r>
          </w:p>
        </w:tc>
        <w:tc>
          <w:tcPr>
            <w:tcW w:w="170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6BF64E5E" w14:textId="77777777" w:rsidR="00F92BDF" w:rsidRDefault="00000000">
            <w:r>
              <w:t>New proposed</w:t>
            </w:r>
            <w:r>
              <w:br/>
              <w:t>rating (B/S date)</w:t>
            </w:r>
          </w:p>
        </w:tc>
      </w:tr>
      <w:tr w:rsidR="00D134AA" w:rsidRPr="0052584F" w14:paraId="3F2E0F8F" w14:textId="77777777" w:rsidTr="00D134AA">
        <w:tc>
          <w:tcPr>
            <w:tcW w:w="2689" w:type="dxa"/>
            <w:tcBorders>
              <w:top w:val="single" w:sz="4" w:space="0" w:color="auto"/>
              <w:left w:val="single" w:sz="4" w:space="0" w:color="auto"/>
              <w:bottom w:val="single" w:sz="4" w:space="0" w:color="auto"/>
              <w:right w:val="single" w:sz="4" w:space="0" w:color="auto"/>
            </w:tcBorders>
            <w:vAlign w:val="center"/>
          </w:tcPr>
          <w:p w14:paraId="46821234" w14:textId="77777777" w:rsidR="00F92BDF" w:rsidRDefault="00000000">
            <w:r>
              <w:t>FERROTECH SOLUTIONS, Ltd.</w:t>
            </w:r>
          </w:p>
        </w:tc>
        <w:tc>
          <w:tcPr>
            <w:tcW w:w="1134" w:type="dxa"/>
            <w:tcBorders>
              <w:top w:val="single" w:sz="4" w:space="0" w:color="auto"/>
              <w:left w:val="single" w:sz="4" w:space="0" w:color="auto"/>
              <w:bottom w:val="single" w:sz="4" w:space="0" w:color="auto"/>
              <w:right w:val="single" w:sz="4" w:space="0" w:color="auto"/>
            </w:tcBorders>
            <w:vAlign w:val="center"/>
          </w:tcPr>
          <w:p w14:paraId="07011FF9" w14:textId="77777777" w:rsidR="00F92BDF" w:rsidRDefault="00000000">
            <w:r>
              <w:t>Borrower</w:t>
            </w:r>
          </w:p>
        </w:tc>
        <w:tc>
          <w:tcPr>
            <w:tcW w:w="2126" w:type="dxa"/>
            <w:tcBorders>
              <w:top w:val="single" w:sz="4" w:space="0" w:color="auto"/>
              <w:left w:val="single" w:sz="4" w:space="0" w:color="auto"/>
              <w:bottom w:val="single" w:sz="4" w:space="0" w:color="auto"/>
              <w:right w:val="single" w:sz="4" w:space="0" w:color="auto"/>
            </w:tcBorders>
            <w:vAlign w:val="center"/>
          </w:tcPr>
          <w:p w14:paraId="51344715" w14:textId="77777777" w:rsidR="00F92BDF" w:rsidRDefault="00000000">
            <w:r>
              <w:t>Processing of metallurgical material</w:t>
            </w:r>
          </w:p>
        </w:tc>
        <w:tc>
          <w:tcPr>
            <w:tcW w:w="992" w:type="dxa"/>
            <w:tcBorders>
              <w:top w:val="single" w:sz="4" w:space="0" w:color="auto"/>
              <w:left w:val="single" w:sz="4" w:space="0" w:color="auto"/>
              <w:bottom w:val="single" w:sz="4" w:space="0" w:color="auto"/>
              <w:right w:val="single" w:sz="4" w:space="0" w:color="auto"/>
            </w:tcBorders>
            <w:vAlign w:val="center"/>
          </w:tcPr>
          <w:p w14:paraId="5D97D03C" w14:textId="25594C69" w:rsidR="00F92BDF" w:rsidRDefault="004E19FC">
            <w:r>
              <w:t>123456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41C854F" w14:textId="054308FE" w:rsidR="00F92BDF" w:rsidRDefault="004E19FC">
            <w:r>
              <w:t>99B</w:t>
            </w:r>
            <w:r w:rsidR="00870ED7">
              <w:t xml:space="preserve"> </w:t>
            </w:r>
            <w:r>
              <w:t>(31.12.20</w:t>
            </w:r>
            <w:r w:rsidR="00B70B3A">
              <w:t>22</w:t>
            </w:r>
            <w:r>
              <w:t>)</w:t>
            </w:r>
          </w:p>
        </w:tc>
        <w:tc>
          <w:tcPr>
            <w:tcW w:w="1701" w:type="dxa"/>
            <w:tcBorders>
              <w:top w:val="single" w:sz="4" w:space="0" w:color="auto"/>
              <w:left w:val="single" w:sz="4" w:space="0" w:color="auto"/>
              <w:bottom w:val="single" w:sz="4" w:space="0" w:color="auto"/>
              <w:right w:val="single" w:sz="4" w:space="0" w:color="auto"/>
            </w:tcBorders>
            <w:vAlign w:val="center"/>
          </w:tcPr>
          <w:p w14:paraId="7532F6AC" w14:textId="1D85A5DF" w:rsidR="00F92BDF" w:rsidRDefault="004E19FC" w:rsidP="00870ED7">
            <w:r>
              <w:t>99A</w:t>
            </w:r>
            <w:r w:rsidR="00870ED7">
              <w:t xml:space="preserve"> </w:t>
            </w:r>
            <w:r>
              <w:t>(31.12.202</w:t>
            </w:r>
            <w:r w:rsidR="00B70B3A">
              <w:t>3</w:t>
            </w:r>
            <w:r>
              <w:t>)</w:t>
            </w:r>
          </w:p>
        </w:tc>
      </w:tr>
    </w:tbl>
    <w:p w14:paraId="6517AA27" w14:textId="77777777" w:rsidR="00EF7D6E" w:rsidRPr="0052584F" w:rsidRDefault="00EF7D6E" w:rsidP="00112486">
      <w:pPr>
        <w:rPr>
          <w:highlight w:val="cyan"/>
          <w:lang w:val="en-US"/>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8"/>
      </w:tblGrid>
      <w:tr w:rsidR="00EF7D6E" w:rsidRPr="0052584F" w14:paraId="680383BF" w14:textId="77777777" w:rsidTr="001B4094">
        <w:trPr>
          <w:trHeight w:val="455"/>
        </w:trPr>
        <w:tc>
          <w:tcPr>
            <w:tcW w:w="10348" w:type="dxa"/>
            <w:shd w:val="clear" w:color="auto" w:fill="CCFFFF"/>
            <w:vAlign w:val="center"/>
          </w:tcPr>
          <w:p w14:paraId="57E785C4" w14:textId="77777777" w:rsidR="00F92BDF" w:rsidRDefault="00000000">
            <w:r>
              <w:t>Rating Remarks:</w:t>
            </w:r>
          </w:p>
        </w:tc>
      </w:tr>
      <w:tr w:rsidR="00EF7D6E" w:rsidRPr="0052584F" w14:paraId="23A04FB2" w14:textId="77777777" w:rsidTr="001B4094">
        <w:trPr>
          <w:trHeight w:val="455"/>
        </w:trPr>
        <w:tc>
          <w:tcPr>
            <w:tcW w:w="10348" w:type="dxa"/>
            <w:shd w:val="clear" w:color="auto" w:fill="auto"/>
            <w:vAlign w:val="center"/>
          </w:tcPr>
          <w:p w14:paraId="69E22487" w14:textId="77777777" w:rsidR="00F92BDF" w:rsidRDefault="00000000">
            <w:r>
              <w:br/>
              <w:t>Adjustments: new USD 149/USD 402 loan for new technology + additional interest expenses USD 1000</w:t>
            </w:r>
            <w:r>
              <w:br/>
              <w:t>Rating worsening by 1 notch driven by the adjustment</w:t>
            </w:r>
            <w:r>
              <w:br/>
            </w:r>
          </w:p>
        </w:tc>
      </w:tr>
    </w:tbl>
    <w:p w14:paraId="581E34C8" w14:textId="77777777" w:rsidR="00E02DFC" w:rsidRPr="004E4857" w:rsidRDefault="00E02DFC" w:rsidP="00112486">
      <w:pPr>
        <w:spacing w:before="360" w:after="120"/>
        <w:ind w:left="142"/>
        <w:rPr>
          <w:rFonts w:ascii="Futura" w:hAnsi="Futura"/>
          <w:b/>
          <w:i/>
          <w:sz w:val="20"/>
          <w:szCs w:val="19"/>
          <w:u w:val="single"/>
          <w:lang w:val="en-US" w:eastAsia="de-DE"/>
        </w:rPr>
      </w:pPr>
      <w:r>
        <w:t>Request</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7654"/>
      </w:tblGrid>
      <w:tr w:rsidR="00A527FC" w:rsidRPr="004E4857" w14:paraId="4D3C6658" w14:textId="77777777" w:rsidTr="001B4094">
        <w:tc>
          <w:tcPr>
            <w:tcW w:w="2694" w:type="dxa"/>
            <w:shd w:val="clear" w:color="auto" w:fill="CCFFFF"/>
          </w:tcPr>
          <w:p w14:paraId="19DBC3AF" w14:textId="77777777" w:rsidR="00F92BDF" w:rsidRDefault="00000000">
            <w:r>
              <w:t>Borrower</w:t>
            </w:r>
          </w:p>
        </w:tc>
        <w:tc>
          <w:tcPr>
            <w:tcW w:w="7654" w:type="dxa"/>
            <w:shd w:val="clear" w:color="auto" w:fill="CCFFFF"/>
            <w:vAlign w:val="center"/>
          </w:tcPr>
          <w:p w14:paraId="1EEEE10D" w14:textId="77777777" w:rsidR="00F92BDF" w:rsidRDefault="00000000">
            <w:r>
              <w:t>Request</w:t>
            </w:r>
          </w:p>
        </w:tc>
      </w:tr>
      <w:tr w:rsidR="001239F0" w:rsidRPr="0052584F" w14:paraId="37692C1D" w14:textId="77777777" w:rsidTr="001B4094">
        <w:tc>
          <w:tcPr>
            <w:tcW w:w="2694" w:type="dxa"/>
            <w:vAlign w:val="center"/>
          </w:tcPr>
          <w:p w14:paraId="212F27C5" w14:textId="77777777" w:rsidR="00F92BDF" w:rsidRDefault="00000000">
            <w:r>
              <w:t>FERROTECH SOLUTIONS, Ltd. (“FERROTECH”)</w:t>
            </w:r>
          </w:p>
        </w:tc>
        <w:tc>
          <w:tcPr>
            <w:tcW w:w="7654" w:type="dxa"/>
            <w:vAlign w:val="center"/>
          </w:tcPr>
          <w:p w14:paraId="29157654" w14:textId="77777777" w:rsidR="00F92BDF" w:rsidRDefault="00000000">
            <w:r>
              <w:t>Prolongation of syndicated facility USD 251 with Bank having 41.7% stake, i.e. USD 114</w:t>
            </w:r>
            <w:r>
              <w:br/>
              <w:t>New syndicated facility USD 564 for new technology (2Y drawing + 5Y repayment) – stake of Bank USD 949 (41.7%)</w:t>
            </w:r>
          </w:p>
        </w:tc>
      </w:tr>
    </w:tbl>
    <w:p w14:paraId="58CE25D5" w14:textId="77777777" w:rsidR="00200D7F" w:rsidRPr="00F805A2" w:rsidRDefault="00200D7F" w:rsidP="00112486">
      <w:pPr>
        <w:spacing w:before="360" w:after="120"/>
        <w:ind w:left="142"/>
        <w:rPr>
          <w:rFonts w:ascii="Futura" w:hAnsi="Futura"/>
          <w:b/>
          <w:i/>
          <w:sz w:val="20"/>
          <w:szCs w:val="19"/>
          <w:u w:val="single"/>
          <w:lang w:val="en-US" w:eastAsia="de-DE"/>
        </w:rPr>
      </w:pPr>
      <w:r>
        <w:t>Key Risk Assessment</w:t>
      </w:r>
    </w:p>
    <w:tbl>
      <w:tblPr>
        <w:tblW w:w="10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34"/>
      </w:tblGrid>
      <w:tr w:rsidR="0055209E" w:rsidRPr="0052584F" w14:paraId="2638AEB7" w14:textId="77777777" w:rsidTr="002108B8">
        <w:tc>
          <w:tcPr>
            <w:tcW w:w="10134" w:type="dxa"/>
            <w:tcBorders>
              <w:bottom w:val="single" w:sz="4" w:space="0" w:color="auto"/>
            </w:tcBorders>
            <w:shd w:val="clear" w:color="auto" w:fill="CCFFFF"/>
          </w:tcPr>
          <w:p w14:paraId="778E3949" w14:textId="77777777" w:rsidR="00F92BDF" w:rsidRDefault="00000000">
            <w:r>
              <w:t>Risk 1: High indebtedness, inventory financing</w:t>
            </w:r>
          </w:p>
        </w:tc>
      </w:tr>
      <w:tr w:rsidR="0055209E" w:rsidRPr="0052584F" w14:paraId="1DB3C2E1" w14:textId="77777777" w:rsidTr="002108B8">
        <w:tc>
          <w:tcPr>
            <w:tcW w:w="10134" w:type="dxa"/>
            <w:tcBorders>
              <w:bottom w:val="single" w:sz="4" w:space="0" w:color="auto"/>
            </w:tcBorders>
            <w:shd w:val="clear" w:color="auto" w:fill="auto"/>
          </w:tcPr>
          <w:p w14:paraId="67936C6F" w14:textId="77777777" w:rsidR="00F92BDF" w:rsidRDefault="00000000">
            <w:r>
              <w:t>Description: company LT rely on bank financing; majority to finance high inventory; indebtedness increase by USD 657 in view based on planned CAPEX</w:t>
            </w:r>
            <w:r>
              <w:br/>
              <w:t>Quantification: bank loans USD decreased by USD 643 during last 2 years to USD 362 (purely ST loans) =&gt; Net Debt/EBITDA 3.0x vs. values 5-6x before COVID outbreak</w:t>
            </w:r>
            <w:r>
              <w:br/>
              <w:t>Mitigating factors: in 2023 all LT loans repaid; capital structure positively boosted by strong profits 2021 and 2022; inventory period decreased to optimal 2M during 1Q/24 from the temporarily higher value 2.5M at FYE 2023</w:t>
            </w:r>
          </w:p>
        </w:tc>
      </w:tr>
      <w:tr w:rsidR="0055209E" w:rsidRPr="0052584F" w14:paraId="29924E38" w14:textId="77777777" w:rsidTr="002108B8">
        <w:tc>
          <w:tcPr>
            <w:tcW w:w="10134" w:type="dxa"/>
            <w:tcBorders>
              <w:bottom w:val="single" w:sz="4" w:space="0" w:color="auto"/>
            </w:tcBorders>
            <w:shd w:val="clear" w:color="auto" w:fill="CCFFFF"/>
          </w:tcPr>
          <w:p w14:paraId="14480270" w14:textId="77777777" w:rsidR="00F92BDF" w:rsidRDefault="00000000">
            <w:r>
              <w:t>Risk 2: Prices volatility; supply chain shortages</w:t>
            </w:r>
          </w:p>
        </w:tc>
      </w:tr>
      <w:tr w:rsidR="0055209E" w:rsidRPr="0052584F" w14:paraId="6D3EDCC0" w14:textId="77777777" w:rsidTr="002108B8">
        <w:tc>
          <w:tcPr>
            <w:tcW w:w="10134" w:type="dxa"/>
            <w:tcBorders>
              <w:bottom w:val="single" w:sz="4" w:space="0" w:color="auto"/>
            </w:tcBorders>
            <w:shd w:val="clear" w:color="auto" w:fill="FFFFFF" w:themeFill="background1"/>
          </w:tcPr>
          <w:p w14:paraId="6CCF716A" w14:textId="77777777" w:rsidR="00F92BDF" w:rsidRDefault="00000000">
            <w:r>
              <w:t>Description: steel prices volatile in general -&gt; after COVID outbreak decrease but than nearly doubled within 12M ending 5/2021 as China supported the post-COVID economy and become the main steel imported vs. previously biggest exporter =&gt; hike in steel prices; after stabilization resulting into price decrease another hike based on outbreak of the UAxRU conflict; during 2022 and 2023 return to pre-pandemic levels but visible volatility</w:t>
            </w:r>
            <w:r>
              <w:br/>
              <w:t xml:space="preserve">Quantification: prices at the end of 2023 by 5% lower compared to beginning of the year; in 1H/2023 price correction more than 15% </w:t>
            </w:r>
            <w:r>
              <w:br/>
              <w:t>Mitigating factors: off-takers accepted higher prices in the situation of higher volatility and uncertainty =&gt; higher profitability of FERROTECH in 2021 and 2022 and correction in 2023; FERROTECH has clear strategy for mitigation of the commodity risk but full hedge not possible</w:t>
            </w:r>
          </w:p>
        </w:tc>
      </w:tr>
      <w:tr w:rsidR="0055209E" w:rsidRPr="0052584F" w14:paraId="7E713A3F" w14:textId="77777777" w:rsidTr="002108B8">
        <w:tc>
          <w:tcPr>
            <w:tcW w:w="10134" w:type="dxa"/>
            <w:tcBorders>
              <w:bottom w:val="single" w:sz="4" w:space="0" w:color="auto"/>
            </w:tcBorders>
            <w:shd w:val="clear" w:color="auto" w:fill="CCFFFF"/>
          </w:tcPr>
          <w:p w14:paraId="1FA7ABA9" w14:textId="77777777" w:rsidR="00F92BDF" w:rsidRDefault="00000000">
            <w:r>
              <w:t>Risk 3: Situation in Automotive</w:t>
            </w:r>
          </w:p>
        </w:tc>
      </w:tr>
      <w:tr w:rsidR="0055209E" w:rsidRPr="0052584F" w14:paraId="6CD26E5F" w14:textId="77777777" w:rsidTr="002108B8">
        <w:tc>
          <w:tcPr>
            <w:tcW w:w="10134" w:type="dxa"/>
            <w:tcBorders>
              <w:bottom w:val="single" w:sz="4" w:space="0" w:color="auto"/>
            </w:tcBorders>
            <w:shd w:val="clear" w:color="auto" w:fill="FFFFFF" w:themeFill="background1"/>
          </w:tcPr>
          <w:p w14:paraId="58D48A81" w14:textId="77777777" w:rsidR="00F92BDF" w:rsidRDefault="00000000">
            <w:r>
              <w:t xml:space="preserve">Description: FERROTECH’s concentration into this sector reached 77% in 2023; registration of new cars in EU concluded 13.9% growth; supply chain bottlenecks recovered in 2023; global auto demand to growth by 1-3% in 2024 and 2-4% in 2025 according to S&amp;P Industry Outlook </w:t>
            </w:r>
            <w:r>
              <w:br/>
              <w:t>Quantification: see above</w:t>
            </w:r>
            <w:r>
              <w:br/>
            </w:r>
            <w:r>
              <w:lastRenderedPageBreak/>
              <w:t>Mitigating factors: see above; deliveries relate to bodywork and so no negative impact relating electric vehicles momentum</w:t>
            </w:r>
          </w:p>
        </w:tc>
      </w:tr>
    </w:tbl>
    <w:p w14:paraId="5FE127D9" w14:textId="77777777" w:rsidR="00742828" w:rsidRPr="004E4857" w:rsidRDefault="00FF151D" w:rsidP="00112486">
      <w:pPr>
        <w:spacing w:before="360" w:after="120"/>
        <w:ind w:left="142"/>
        <w:rPr>
          <w:rFonts w:ascii="Futura" w:hAnsi="Futura"/>
          <w:b/>
          <w:i/>
          <w:sz w:val="20"/>
          <w:szCs w:val="19"/>
          <w:u w:val="single"/>
          <w:lang w:val="en-US" w:eastAsia="de-DE"/>
        </w:rPr>
      </w:pPr>
      <w:r>
        <w:lastRenderedPageBreak/>
        <w:t>Recommendation</w:t>
      </w:r>
    </w:p>
    <w:tbl>
      <w:tblPr>
        <w:tblStyle w:val="TableGrid"/>
        <w:tblW w:w="10343" w:type="dxa"/>
        <w:tblLook w:val="04A0" w:firstRow="1" w:lastRow="0" w:firstColumn="1" w:lastColumn="0" w:noHBand="0" w:noVBand="1"/>
      </w:tblPr>
      <w:tblGrid>
        <w:gridCol w:w="2830"/>
        <w:gridCol w:w="7513"/>
      </w:tblGrid>
      <w:tr w:rsidR="00742828" w:rsidRPr="004E4857" w14:paraId="045A978F" w14:textId="77777777" w:rsidTr="001B4094">
        <w:trPr>
          <w:trHeight w:val="250"/>
        </w:trPr>
        <w:tc>
          <w:tcPr>
            <w:tcW w:w="2830" w:type="dxa"/>
            <w:shd w:val="clear" w:color="auto" w:fill="CCFFFF"/>
          </w:tcPr>
          <w:p w14:paraId="5BC29B0E" w14:textId="77777777" w:rsidR="00F92BDF" w:rsidRDefault="00000000">
            <w:r>
              <w:t>Recommendation</w:t>
            </w:r>
          </w:p>
        </w:tc>
        <w:tc>
          <w:tcPr>
            <w:tcW w:w="7513" w:type="dxa"/>
          </w:tcPr>
          <w:p w14:paraId="53C33F27" w14:textId="77777777" w:rsidR="00F92BDF" w:rsidRDefault="00000000">
            <w:r>
              <w:t>Two excellent years 2021+2022 resulted into improvement of the capital structure. Despite margin correction in 2023 financial health of FERROTECH decent based on repayment of all amortized loans, solid EqR over 40% and leverage at acceptable level =&gt; right timing for robust CAPEX (despite having no LT contracts) that will result into competitive advantage of FERROTECH and strengthen its market position in MT horizon. FERROTECH able to cover DS of the new line from existing CF.</w:t>
            </w:r>
            <w:r>
              <w:br/>
              <w:t>Transaction is recommended for approval with conditions.</w:t>
            </w:r>
            <w:r>
              <w:br/>
            </w:r>
          </w:p>
        </w:tc>
      </w:tr>
      <w:tr w:rsidR="00742828" w:rsidRPr="001E2E8C" w14:paraId="09245B89" w14:textId="77777777" w:rsidTr="001B4094">
        <w:tc>
          <w:tcPr>
            <w:tcW w:w="2830" w:type="dxa"/>
            <w:shd w:val="clear" w:color="auto" w:fill="CCFFFF"/>
          </w:tcPr>
          <w:p w14:paraId="2274FB01" w14:textId="77777777" w:rsidR="00F92BDF" w:rsidRDefault="00000000">
            <w:r>
              <w:t>Conditions proposed</w:t>
            </w:r>
          </w:p>
        </w:tc>
        <w:tc>
          <w:tcPr>
            <w:tcW w:w="7513" w:type="dxa"/>
          </w:tcPr>
          <w:p w14:paraId="7CCE15B9" w14:textId="77777777" w:rsidR="00F92BDF" w:rsidRDefault="00000000">
            <w:r>
              <w:t>Temporarily softening of the covenant Net Debt/EBITDA to 6.0x for FY 2025 and 2026 in connection with huge CAPEX</w:t>
            </w:r>
          </w:p>
        </w:tc>
      </w:tr>
    </w:tbl>
    <w:p w14:paraId="52D85E07" w14:textId="77777777" w:rsidR="00AC2535" w:rsidRPr="001E2E8C" w:rsidRDefault="00AC2535" w:rsidP="00112486">
      <w:pPr>
        <w:spacing w:after="200"/>
        <w:jc w:val="both"/>
        <w:rPr>
          <w:rFonts w:ascii="Futura" w:hAnsi="Futura"/>
          <w:sz w:val="22"/>
          <w:lang w:val="en-US"/>
        </w:rPr>
      </w:pPr>
    </w:p>
    <w:p w14:paraId="519C026A" w14:textId="77777777" w:rsidR="00062062" w:rsidRPr="0052584F" w:rsidRDefault="00062062" w:rsidP="00112486">
      <w:pPr>
        <w:spacing w:after="200"/>
        <w:jc w:val="both"/>
        <w:rPr>
          <w:rFonts w:ascii="Futura" w:hAnsi="Futura" w:cs="Arial"/>
          <w:b/>
          <w:bCs/>
          <w:sz w:val="20"/>
          <w:highlight w:val="cyan"/>
          <w:lang w:val="en-US"/>
        </w:rPr>
      </w:pPr>
    </w:p>
    <w:p w14:paraId="69158E79" w14:textId="77777777" w:rsidR="00B55990" w:rsidRPr="009B46C3" w:rsidRDefault="00B73FF0" w:rsidP="00112486">
      <w:pPr>
        <w:pStyle w:val="Heading1"/>
      </w:pPr>
      <w:r>
        <w:t>REPORTS</w:t>
      </w:r>
    </w:p>
    <w:p w14:paraId="7B079C5C" w14:textId="77777777" w:rsidR="00EF7D6E" w:rsidRPr="009B46C3" w:rsidRDefault="00EF7D6E" w:rsidP="00112486">
      <w:pPr>
        <w:spacing w:before="240" w:after="120"/>
        <w:ind w:left="142"/>
        <w:rPr>
          <w:rFonts w:ascii="Futura" w:hAnsi="Futura"/>
          <w:bCs/>
          <w:i/>
          <w:sz w:val="20"/>
          <w:szCs w:val="19"/>
          <w:lang w:val="en-US" w:eastAsia="de-DE"/>
        </w:rPr>
      </w:pPr>
      <w:r>
        <w:t>Heat map info</w:t>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761"/>
        <w:gridCol w:w="2117"/>
        <w:gridCol w:w="1189"/>
        <w:gridCol w:w="1692"/>
        <w:gridCol w:w="1127"/>
        <w:gridCol w:w="1264"/>
      </w:tblGrid>
      <w:tr w:rsidR="00A02894" w:rsidRPr="009B46C3" w14:paraId="31A9942B" w14:textId="77777777" w:rsidTr="00241CEC">
        <w:tc>
          <w:tcPr>
            <w:tcW w:w="576" w:type="pct"/>
            <w:shd w:val="clear" w:color="auto" w:fill="CCFFFF"/>
            <w:vAlign w:val="center"/>
          </w:tcPr>
          <w:p w14:paraId="6E065E8B" w14:textId="20575300" w:rsidR="00F92BDF" w:rsidRDefault="00C3795F">
            <w:r>
              <w:t>Id</w:t>
            </w:r>
          </w:p>
        </w:tc>
        <w:tc>
          <w:tcPr>
            <w:tcW w:w="851" w:type="pct"/>
            <w:shd w:val="clear" w:color="auto" w:fill="CCFFFF"/>
            <w:vAlign w:val="center"/>
          </w:tcPr>
          <w:p w14:paraId="0565F4B5" w14:textId="77777777" w:rsidR="00F92BDF" w:rsidRDefault="00000000">
            <w:r>
              <w:t>Sector (level 1)</w:t>
            </w:r>
          </w:p>
        </w:tc>
        <w:tc>
          <w:tcPr>
            <w:tcW w:w="1023" w:type="pct"/>
            <w:shd w:val="clear" w:color="auto" w:fill="CCFFFF"/>
            <w:vAlign w:val="center"/>
          </w:tcPr>
          <w:p w14:paraId="3369811F" w14:textId="77777777" w:rsidR="00F92BDF" w:rsidRDefault="00000000">
            <w:r>
              <w:t>Activity (level3)</w:t>
            </w:r>
          </w:p>
        </w:tc>
        <w:tc>
          <w:tcPr>
            <w:tcW w:w="575" w:type="pct"/>
            <w:shd w:val="clear" w:color="auto" w:fill="CCFFFF"/>
            <w:vAlign w:val="center"/>
          </w:tcPr>
          <w:p w14:paraId="718B5308" w14:textId="77777777" w:rsidR="00F92BDF" w:rsidRDefault="00000000">
            <w:r>
              <w:t>Risk</w:t>
            </w:r>
          </w:p>
        </w:tc>
        <w:tc>
          <w:tcPr>
            <w:tcW w:w="818" w:type="pct"/>
            <w:shd w:val="clear" w:color="auto" w:fill="CCFFFF"/>
            <w:vAlign w:val="center"/>
          </w:tcPr>
          <w:p w14:paraId="08FD52C5" w14:textId="77777777" w:rsidR="00F92BDF" w:rsidRDefault="00000000">
            <w:r>
              <w:t>Outlook</w:t>
            </w:r>
          </w:p>
        </w:tc>
        <w:tc>
          <w:tcPr>
            <w:tcW w:w="545" w:type="pct"/>
            <w:shd w:val="clear" w:color="auto" w:fill="CCFFFF"/>
          </w:tcPr>
          <w:p w14:paraId="795D0297" w14:textId="77777777" w:rsidR="00F92BDF" w:rsidRDefault="00000000">
            <w:r>
              <w:t>Quadrant</w:t>
            </w:r>
          </w:p>
        </w:tc>
        <w:tc>
          <w:tcPr>
            <w:tcW w:w="611" w:type="pct"/>
            <w:shd w:val="clear" w:color="auto" w:fill="CCFFFF"/>
          </w:tcPr>
          <w:p w14:paraId="00394F73" w14:textId="77777777" w:rsidR="00F92BDF" w:rsidRDefault="00000000">
            <w:r>
              <w:t>ESG</w:t>
            </w:r>
          </w:p>
        </w:tc>
      </w:tr>
      <w:tr w:rsidR="00C3795F" w:rsidRPr="009B46C3" w14:paraId="7D9119F5" w14:textId="77777777" w:rsidTr="002A61CC">
        <w:tc>
          <w:tcPr>
            <w:tcW w:w="576" w:type="pct"/>
            <w:shd w:val="clear" w:color="auto" w:fill="auto"/>
            <w:vAlign w:val="center"/>
          </w:tcPr>
          <w:p w14:paraId="51A60199" w14:textId="1A0CE963" w:rsidR="00C3795F" w:rsidRDefault="00C3795F" w:rsidP="00C3795F">
            <w:r>
              <w:t>994455</w:t>
            </w:r>
          </w:p>
        </w:tc>
        <w:tc>
          <w:tcPr>
            <w:tcW w:w="851" w:type="pct"/>
            <w:shd w:val="clear" w:color="auto" w:fill="auto"/>
            <w:vAlign w:val="center"/>
          </w:tcPr>
          <w:p w14:paraId="689839D9" w14:textId="77777777" w:rsidR="00C3795F" w:rsidRDefault="00C3795F" w:rsidP="00C3795F">
            <w:r>
              <w:t>Consumer Discretionary</w:t>
            </w:r>
          </w:p>
        </w:tc>
        <w:tc>
          <w:tcPr>
            <w:tcW w:w="1023" w:type="pct"/>
            <w:shd w:val="clear" w:color="auto" w:fill="auto"/>
            <w:vAlign w:val="center"/>
          </w:tcPr>
          <w:p w14:paraId="32F02FEC" w14:textId="77777777" w:rsidR="00C3795F" w:rsidRDefault="00C3795F" w:rsidP="00C3795F">
            <w:r>
              <w:t>Automotive Parts &amp; Equipment</w:t>
            </w:r>
          </w:p>
        </w:tc>
        <w:tc>
          <w:tcPr>
            <w:tcW w:w="575" w:type="pct"/>
            <w:shd w:val="clear" w:color="auto" w:fill="9BBB59" w:themeFill="accent3"/>
            <w:vAlign w:val="center"/>
          </w:tcPr>
          <w:p w14:paraId="436B2E67" w14:textId="716B5792" w:rsidR="00C3795F" w:rsidRDefault="00C3795F" w:rsidP="00C3795F">
            <w:r>
              <w:t>LOW</w:t>
            </w:r>
          </w:p>
        </w:tc>
        <w:tc>
          <w:tcPr>
            <w:tcW w:w="818" w:type="pct"/>
            <w:shd w:val="clear" w:color="auto" w:fill="auto"/>
            <w:vAlign w:val="center"/>
          </w:tcPr>
          <w:p w14:paraId="01DFEBB4" w14:textId="1E882563" w:rsidR="00C3795F" w:rsidRDefault="00C3795F" w:rsidP="00C3795F">
            <w:r>
              <w:t>STEADY GROWTH</w:t>
            </w:r>
          </w:p>
        </w:tc>
        <w:tc>
          <w:tcPr>
            <w:tcW w:w="545" w:type="pct"/>
            <w:vAlign w:val="center"/>
          </w:tcPr>
          <w:p w14:paraId="06621A68" w14:textId="2A4B6A9E" w:rsidR="00C3795F" w:rsidRDefault="008447BE" w:rsidP="00C3795F">
            <w:r>
              <w:t>B5</w:t>
            </w:r>
          </w:p>
        </w:tc>
        <w:tc>
          <w:tcPr>
            <w:tcW w:w="611" w:type="pct"/>
            <w:shd w:val="clear" w:color="auto" w:fill="9BBB59" w:themeFill="accent3"/>
            <w:vAlign w:val="center"/>
          </w:tcPr>
          <w:p w14:paraId="7C9BBC3B" w14:textId="1DDBDB22" w:rsidR="00C3795F" w:rsidRDefault="00C3795F" w:rsidP="00C3795F">
            <w:r>
              <w:t>LOW</w:t>
            </w:r>
          </w:p>
        </w:tc>
      </w:tr>
    </w:tbl>
    <w:p w14:paraId="429DCAB5" w14:textId="77777777" w:rsidR="00241CEC" w:rsidRDefault="00241CEC" w:rsidP="00241CEC">
      <w:pPr>
        <w:ind w:left="142"/>
        <w:rPr>
          <w:rFonts w:ascii="Futura" w:hAnsi="Futura"/>
          <w:b/>
          <w:i/>
          <w:sz w:val="20"/>
          <w:szCs w:val="19"/>
          <w:u w:val="single"/>
          <w:lang w:val="en-US" w:eastAsia="de-DE"/>
        </w:rPr>
      </w:pP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7"/>
      </w:tblGrid>
      <w:tr w:rsidR="00241CEC" w:rsidRPr="00870BC3" w14:paraId="6A8A9D8B" w14:textId="77777777" w:rsidTr="001A1871">
        <w:trPr>
          <w:trHeight w:val="418"/>
        </w:trPr>
        <w:tc>
          <w:tcPr>
            <w:tcW w:w="10377" w:type="dxa"/>
            <w:tcBorders>
              <w:top w:val="single" w:sz="4" w:space="0" w:color="auto"/>
            </w:tcBorders>
            <w:shd w:val="clear" w:color="auto" w:fill="CCFFFF"/>
            <w:vAlign w:val="center"/>
          </w:tcPr>
          <w:p w14:paraId="3A766196" w14:textId="42997328" w:rsidR="00F92BDF" w:rsidRDefault="00000000">
            <w:r>
              <w:t xml:space="preserve">ESG Risk for client: </w:t>
            </w:r>
            <w:r w:rsidR="00D93B61">
              <w:t>LOW</w:t>
            </w:r>
          </w:p>
        </w:tc>
      </w:tr>
      <w:tr w:rsidR="00241CEC" w:rsidRPr="00B82104" w14:paraId="182CD5CB" w14:textId="77777777" w:rsidTr="001A1871">
        <w:tblPrEx>
          <w:tblCellMar>
            <w:left w:w="70" w:type="dxa"/>
            <w:right w:w="70" w:type="dxa"/>
          </w:tblCellMar>
        </w:tblPrEx>
        <w:trPr>
          <w:trHeight w:val="195"/>
        </w:trPr>
        <w:tc>
          <w:tcPr>
            <w:tcW w:w="10377" w:type="dxa"/>
            <w:shd w:val="clear" w:color="auto" w:fill="auto"/>
          </w:tcPr>
          <w:p w14:paraId="62CAC678" w14:textId="77777777" w:rsidR="00F92BDF" w:rsidRDefault="00000000">
            <w:r>
              <w:t>Description: no strategy implemented at this moment; nevertheless FERROTECH Tier 2 supplier to automotive that will have to follow the trends and needs of the car producers to keep its position in the supply chain; new line with positive impact on the environment (electricity reduction, scrap reduction)</w:t>
            </w:r>
            <w:r>
              <w:br/>
              <w:t>Quantification: n.a.</w:t>
            </w:r>
            <w:r>
              <w:br/>
              <w:t>Mitigating factors: n.a.</w:t>
            </w:r>
          </w:p>
        </w:tc>
      </w:tr>
    </w:tbl>
    <w:p w14:paraId="0B128B51" w14:textId="77777777" w:rsidR="00241CEC" w:rsidRDefault="00241CEC" w:rsidP="00241CEC">
      <w:pPr>
        <w:autoSpaceDE w:val="0"/>
        <w:autoSpaceDN w:val="0"/>
        <w:adjustRightInd w:val="0"/>
        <w:rPr>
          <w:rFonts w:ascii="Futura" w:hAnsi="Futura"/>
          <w:b/>
          <w:sz w:val="20"/>
          <w:szCs w:val="20"/>
          <w:lang w:val="en-US"/>
        </w:rPr>
      </w:pPr>
    </w:p>
    <w:p w14:paraId="6177493D" w14:textId="77777777" w:rsidR="00EF7D6E" w:rsidRPr="00241CEC" w:rsidRDefault="00EF7D6E" w:rsidP="00112486">
      <w:pPr>
        <w:spacing w:before="360" w:after="120"/>
        <w:ind w:left="142"/>
        <w:rPr>
          <w:rFonts w:ascii="Futura" w:hAnsi="Futura"/>
          <w:b/>
          <w:i/>
          <w:sz w:val="20"/>
          <w:szCs w:val="19"/>
          <w:u w:val="single"/>
          <w:lang w:val="en-US" w:eastAsia="de-DE"/>
        </w:rPr>
      </w:pPr>
      <w:r>
        <w:t>Fulfillment of financial covenants</w:t>
      </w:r>
    </w:p>
    <w:tbl>
      <w:tblPr>
        <w:tblW w:w="7419" w:type="dxa"/>
        <w:tblCellMar>
          <w:left w:w="70" w:type="dxa"/>
          <w:right w:w="70" w:type="dxa"/>
        </w:tblCellMar>
        <w:tblLook w:val="04A0" w:firstRow="1" w:lastRow="0" w:firstColumn="1" w:lastColumn="0" w:noHBand="0" w:noVBand="1"/>
      </w:tblPr>
      <w:tblGrid>
        <w:gridCol w:w="3120"/>
        <w:gridCol w:w="1583"/>
        <w:gridCol w:w="1203"/>
        <w:gridCol w:w="1513"/>
      </w:tblGrid>
      <w:tr w:rsidR="009E1360" w:rsidRPr="00241CEC" w14:paraId="7A6BF4D1" w14:textId="77777777" w:rsidTr="00052A11">
        <w:trPr>
          <w:trHeight w:val="276"/>
        </w:trPr>
        <w:tc>
          <w:tcPr>
            <w:tcW w:w="3120" w:type="dxa"/>
            <w:tcBorders>
              <w:top w:val="single" w:sz="4" w:space="0" w:color="auto"/>
              <w:left w:val="single" w:sz="4" w:space="0" w:color="auto"/>
              <w:bottom w:val="single" w:sz="4" w:space="0" w:color="auto"/>
              <w:right w:val="single" w:sz="4" w:space="0" w:color="auto"/>
            </w:tcBorders>
            <w:shd w:val="clear" w:color="000000" w:fill="CCFFFF"/>
            <w:vAlign w:val="bottom"/>
          </w:tcPr>
          <w:p w14:paraId="38418672" w14:textId="77777777" w:rsidR="00F92BDF" w:rsidRDefault="00000000">
            <w:r>
              <w:t>Financials</w:t>
            </w:r>
          </w:p>
        </w:tc>
        <w:tc>
          <w:tcPr>
            <w:tcW w:w="1583" w:type="dxa"/>
            <w:tcBorders>
              <w:top w:val="single" w:sz="4" w:space="0" w:color="auto"/>
              <w:left w:val="single" w:sz="4" w:space="0" w:color="auto"/>
              <w:bottom w:val="single" w:sz="4" w:space="0" w:color="auto"/>
              <w:right w:val="single" w:sz="4" w:space="0" w:color="auto"/>
            </w:tcBorders>
            <w:shd w:val="clear" w:color="000000" w:fill="CCFFFF"/>
            <w:noWrap/>
            <w:vAlign w:val="bottom"/>
            <w:hideMark/>
          </w:tcPr>
          <w:p w14:paraId="44CFA2B9" w14:textId="77777777" w:rsidR="00F92BDF" w:rsidRDefault="00000000">
            <w:r>
              <w:t>Covenant</w:t>
            </w:r>
          </w:p>
        </w:tc>
        <w:tc>
          <w:tcPr>
            <w:tcW w:w="1203" w:type="dxa"/>
            <w:tcBorders>
              <w:top w:val="single" w:sz="4" w:space="0" w:color="auto"/>
              <w:left w:val="nil"/>
              <w:bottom w:val="single" w:sz="4" w:space="0" w:color="auto"/>
              <w:right w:val="single" w:sz="4" w:space="0" w:color="auto"/>
            </w:tcBorders>
            <w:shd w:val="clear" w:color="000000" w:fill="CCFFFF"/>
            <w:noWrap/>
            <w:vAlign w:val="bottom"/>
            <w:hideMark/>
          </w:tcPr>
          <w:p w14:paraId="6CA26ED8" w14:textId="77777777" w:rsidR="00F92BDF" w:rsidRDefault="00000000">
            <w:r>
              <w:t>Frequency</w:t>
            </w:r>
          </w:p>
        </w:tc>
        <w:tc>
          <w:tcPr>
            <w:tcW w:w="1513" w:type="dxa"/>
            <w:tcBorders>
              <w:top w:val="single" w:sz="4" w:space="0" w:color="auto"/>
              <w:left w:val="nil"/>
              <w:bottom w:val="single" w:sz="4" w:space="0" w:color="auto"/>
              <w:right w:val="single" w:sz="4" w:space="0" w:color="auto"/>
            </w:tcBorders>
            <w:shd w:val="clear" w:color="000000" w:fill="CCFFFF"/>
            <w:noWrap/>
            <w:vAlign w:val="bottom"/>
            <w:hideMark/>
          </w:tcPr>
          <w:p w14:paraId="2E8333EE" w14:textId="77777777" w:rsidR="00F92BDF" w:rsidRDefault="00000000">
            <w:r>
              <w:t>31.12.2023</w:t>
            </w:r>
          </w:p>
        </w:tc>
      </w:tr>
      <w:tr w:rsidR="009E1360" w:rsidRPr="00241CEC" w14:paraId="75CCEF80" w14:textId="77777777" w:rsidTr="00052A11">
        <w:trPr>
          <w:trHeight w:val="276"/>
        </w:trPr>
        <w:tc>
          <w:tcPr>
            <w:tcW w:w="3120" w:type="dxa"/>
            <w:tcBorders>
              <w:top w:val="nil"/>
              <w:left w:val="single" w:sz="4" w:space="0" w:color="auto"/>
              <w:bottom w:val="single" w:sz="4" w:space="0" w:color="auto"/>
              <w:right w:val="single" w:sz="4" w:space="0" w:color="auto"/>
            </w:tcBorders>
            <w:vAlign w:val="center"/>
          </w:tcPr>
          <w:p w14:paraId="1A9C0172" w14:textId="77777777" w:rsidR="00F92BDF" w:rsidRDefault="00000000">
            <w:r>
              <w:t>Dluhove kryti (rollover basis)</w:t>
            </w:r>
          </w:p>
        </w:tc>
        <w:tc>
          <w:tcPr>
            <w:tcW w:w="1583" w:type="dxa"/>
            <w:tcBorders>
              <w:top w:val="nil"/>
              <w:left w:val="single" w:sz="4" w:space="0" w:color="auto"/>
              <w:bottom w:val="single" w:sz="4" w:space="0" w:color="auto"/>
              <w:right w:val="single" w:sz="4" w:space="0" w:color="auto"/>
            </w:tcBorders>
            <w:shd w:val="clear" w:color="auto" w:fill="auto"/>
            <w:noWrap/>
            <w:vAlign w:val="center"/>
          </w:tcPr>
          <w:p w14:paraId="6DF02E47" w14:textId="77777777" w:rsidR="00F92BDF" w:rsidRDefault="00000000">
            <w:r>
              <w:t>Min. 1.2x</w:t>
            </w:r>
          </w:p>
        </w:tc>
        <w:tc>
          <w:tcPr>
            <w:tcW w:w="1203" w:type="dxa"/>
            <w:tcBorders>
              <w:top w:val="nil"/>
              <w:left w:val="nil"/>
              <w:bottom w:val="single" w:sz="4" w:space="0" w:color="auto"/>
              <w:right w:val="single" w:sz="4" w:space="0" w:color="auto"/>
            </w:tcBorders>
            <w:shd w:val="clear" w:color="auto" w:fill="auto"/>
            <w:noWrap/>
            <w:vAlign w:val="center"/>
          </w:tcPr>
          <w:p w14:paraId="322C5F04" w14:textId="77777777" w:rsidR="00F92BDF" w:rsidRDefault="00000000">
            <w:r>
              <w:t>Q</w:t>
            </w:r>
          </w:p>
        </w:tc>
        <w:tc>
          <w:tcPr>
            <w:tcW w:w="1513" w:type="dxa"/>
            <w:tcBorders>
              <w:top w:val="nil"/>
              <w:left w:val="nil"/>
              <w:bottom w:val="single" w:sz="4" w:space="0" w:color="auto"/>
              <w:right w:val="single" w:sz="4" w:space="0" w:color="auto"/>
            </w:tcBorders>
            <w:shd w:val="clear" w:color="auto" w:fill="auto"/>
            <w:noWrap/>
            <w:vAlign w:val="center"/>
          </w:tcPr>
          <w:p w14:paraId="6B45F4CB" w14:textId="77777777" w:rsidR="00F92BDF" w:rsidRDefault="00000000">
            <w:r>
              <w:t>3.2x</w:t>
            </w:r>
          </w:p>
        </w:tc>
      </w:tr>
      <w:tr w:rsidR="009E1360" w:rsidRPr="00241CEC" w14:paraId="29AB016C" w14:textId="77777777" w:rsidTr="00052A11">
        <w:trPr>
          <w:trHeight w:val="276"/>
        </w:trPr>
        <w:tc>
          <w:tcPr>
            <w:tcW w:w="3120" w:type="dxa"/>
            <w:tcBorders>
              <w:top w:val="nil"/>
              <w:left w:val="single" w:sz="4" w:space="0" w:color="auto"/>
              <w:bottom w:val="single" w:sz="4" w:space="0" w:color="auto"/>
              <w:right w:val="single" w:sz="4" w:space="0" w:color="auto"/>
            </w:tcBorders>
            <w:vAlign w:val="center"/>
          </w:tcPr>
          <w:p w14:paraId="520D0719" w14:textId="77777777" w:rsidR="00F92BDF" w:rsidRDefault="00000000">
            <w:r>
              <w:t>Zadluzenost (rollover basis)</w:t>
            </w:r>
          </w:p>
        </w:tc>
        <w:tc>
          <w:tcPr>
            <w:tcW w:w="1583" w:type="dxa"/>
            <w:tcBorders>
              <w:top w:val="nil"/>
              <w:left w:val="single" w:sz="4" w:space="0" w:color="auto"/>
              <w:bottom w:val="single" w:sz="4" w:space="0" w:color="auto"/>
              <w:right w:val="single" w:sz="4" w:space="0" w:color="auto"/>
            </w:tcBorders>
            <w:shd w:val="clear" w:color="auto" w:fill="auto"/>
            <w:noWrap/>
            <w:vAlign w:val="center"/>
          </w:tcPr>
          <w:p w14:paraId="58D61ED3" w14:textId="77777777" w:rsidR="00F92BDF" w:rsidRDefault="00000000">
            <w:r>
              <w:t>Max. 5.6x</w:t>
            </w:r>
          </w:p>
        </w:tc>
        <w:tc>
          <w:tcPr>
            <w:tcW w:w="1203" w:type="dxa"/>
            <w:tcBorders>
              <w:top w:val="nil"/>
              <w:left w:val="nil"/>
              <w:bottom w:val="single" w:sz="4" w:space="0" w:color="auto"/>
              <w:right w:val="single" w:sz="4" w:space="0" w:color="auto"/>
            </w:tcBorders>
            <w:shd w:val="clear" w:color="auto" w:fill="auto"/>
            <w:noWrap/>
            <w:vAlign w:val="center"/>
          </w:tcPr>
          <w:p w14:paraId="29696F34" w14:textId="77777777" w:rsidR="00F92BDF" w:rsidRDefault="00000000">
            <w:r>
              <w:t>Q</w:t>
            </w:r>
          </w:p>
        </w:tc>
        <w:tc>
          <w:tcPr>
            <w:tcW w:w="1513" w:type="dxa"/>
            <w:tcBorders>
              <w:top w:val="nil"/>
              <w:left w:val="nil"/>
              <w:bottom w:val="single" w:sz="4" w:space="0" w:color="auto"/>
              <w:right w:val="single" w:sz="4" w:space="0" w:color="auto"/>
            </w:tcBorders>
            <w:shd w:val="clear" w:color="auto" w:fill="auto"/>
            <w:noWrap/>
            <w:vAlign w:val="center"/>
          </w:tcPr>
          <w:p w14:paraId="4CDBDC9B" w14:textId="77777777" w:rsidR="00F92BDF" w:rsidRDefault="00000000">
            <w:r>
              <w:t>3.0x</w:t>
            </w:r>
          </w:p>
        </w:tc>
      </w:tr>
    </w:tbl>
    <w:p w14:paraId="20626148" w14:textId="77777777" w:rsidR="00EF7D6E" w:rsidRPr="00241CEC" w:rsidRDefault="00EF7D6E" w:rsidP="00112486">
      <w:pPr>
        <w:spacing w:after="120"/>
        <w:rPr>
          <w:rFonts w:ascii="Futura" w:hAnsi="Futura"/>
          <w:i/>
          <w:sz w:val="18"/>
          <w:szCs w:val="20"/>
          <w:lang w:val="en-US" w:eastAsia="de-DE"/>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8"/>
      </w:tblGrid>
      <w:tr w:rsidR="00EF7D6E" w:rsidRPr="0052584F" w14:paraId="5E053FCA" w14:textId="77777777" w:rsidTr="001B4094">
        <w:trPr>
          <w:trHeight w:val="268"/>
        </w:trPr>
        <w:tc>
          <w:tcPr>
            <w:tcW w:w="10348" w:type="dxa"/>
            <w:shd w:val="clear" w:color="auto" w:fill="CCFFFF"/>
            <w:vAlign w:val="center"/>
          </w:tcPr>
          <w:p w14:paraId="793AC0D9" w14:textId="77777777" w:rsidR="00F92BDF" w:rsidRDefault="00000000">
            <w:r>
              <w:t>Covenant Remarks:</w:t>
            </w:r>
          </w:p>
        </w:tc>
      </w:tr>
      <w:tr w:rsidR="00EF7D6E" w:rsidRPr="0052584F" w14:paraId="13685178" w14:textId="77777777" w:rsidTr="001B4094">
        <w:trPr>
          <w:trHeight w:val="455"/>
        </w:trPr>
        <w:tc>
          <w:tcPr>
            <w:tcW w:w="10348" w:type="dxa"/>
            <w:shd w:val="clear" w:color="auto" w:fill="auto"/>
            <w:vAlign w:val="center"/>
          </w:tcPr>
          <w:p w14:paraId="0A6D0513" w14:textId="260916E2" w:rsidR="00F92BDF" w:rsidRDefault="00000000">
            <w:r>
              <w:t>Evaluation of covenant fulfilment/breach:</w:t>
            </w:r>
            <w:r>
              <w:br/>
              <w:t>Covenants fulfilled with high cushion for 2023</w:t>
            </w:r>
            <w:r>
              <w:br/>
            </w:r>
            <w:r>
              <w:br/>
              <w:t>Expectation on future fulfilment/breach of covenants:</w:t>
            </w:r>
            <w:r>
              <w:br/>
              <w:t xml:space="preserve">In extreme situation of full drawing of ST limit USD 777 + USD 616 of the investment loan, no dispo than break even EBITDA for Leverage at EBITDA 178mn; neverthless in CA case utilization of ST limits lower values slightly above actualy set covenant 5.6x; with respect to done CAPEX softening of the covenant temporarily softening of the covenant to 6.0x is recommended for 2025 and 2026 </w:t>
            </w:r>
            <w:r>
              <w:br/>
            </w:r>
            <w:r>
              <w:lastRenderedPageBreak/>
              <w:t>In CA case covenant value 5.3x for 2023 despite lower EBITDA because limit to be drawn at USD 798</w:t>
            </w:r>
            <w:r>
              <w:br/>
              <w:t>Dluhove kryti fulfilled in CA case with bottom value of 1.3x in 2027</w:t>
            </w:r>
            <w:r>
              <w:br/>
            </w:r>
          </w:p>
        </w:tc>
      </w:tr>
    </w:tbl>
    <w:p w14:paraId="240A187A" w14:textId="77777777" w:rsidR="00EF7D6E" w:rsidRPr="00A96186" w:rsidRDefault="00EF7D6E" w:rsidP="00112486">
      <w:pPr>
        <w:spacing w:before="240" w:after="120"/>
        <w:ind w:left="142"/>
        <w:rPr>
          <w:rFonts w:ascii="Futura" w:hAnsi="Futura"/>
          <w:i/>
          <w:sz w:val="20"/>
          <w:szCs w:val="19"/>
          <w:lang w:val="en-US" w:eastAsia="de-DE"/>
        </w:rPr>
      </w:pPr>
      <w:r>
        <w:lastRenderedPageBreak/>
        <w:t>Evaluation of results (detail is in enclosed reports)</w:t>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228"/>
        <w:gridCol w:w="803"/>
        <w:gridCol w:w="5049"/>
      </w:tblGrid>
      <w:tr w:rsidR="00EF7D6E" w:rsidRPr="0052584F" w14:paraId="3A649E29" w14:textId="77777777" w:rsidTr="009D7AD9">
        <w:tc>
          <w:tcPr>
            <w:tcW w:w="1094" w:type="pct"/>
            <w:shd w:val="clear" w:color="auto" w:fill="CCFFFF"/>
          </w:tcPr>
          <w:p w14:paraId="3259B66B" w14:textId="77777777" w:rsidR="00F92BDF" w:rsidRDefault="00000000">
            <w:r>
              <w:t>Report</w:t>
            </w:r>
          </w:p>
        </w:tc>
        <w:tc>
          <w:tcPr>
            <w:tcW w:w="1077" w:type="pct"/>
            <w:shd w:val="clear" w:color="auto" w:fill="CCFFFF"/>
          </w:tcPr>
          <w:p w14:paraId="36B80641" w14:textId="77777777" w:rsidR="00F92BDF" w:rsidRDefault="00000000">
            <w:r>
              <w:t>Date</w:t>
            </w:r>
          </w:p>
        </w:tc>
        <w:tc>
          <w:tcPr>
            <w:tcW w:w="388" w:type="pct"/>
            <w:shd w:val="clear" w:color="auto" w:fill="CCFFFF"/>
          </w:tcPr>
          <w:p w14:paraId="4CD4CE38" w14:textId="77777777" w:rsidR="00F92BDF" w:rsidRDefault="00000000">
            <w:r>
              <w:t>Status</w:t>
            </w:r>
          </w:p>
        </w:tc>
        <w:tc>
          <w:tcPr>
            <w:tcW w:w="2441" w:type="pct"/>
            <w:shd w:val="clear" w:color="auto" w:fill="CCFFFF"/>
          </w:tcPr>
          <w:p w14:paraId="1AF815AF" w14:textId="77777777" w:rsidR="00F92BDF" w:rsidRDefault="00000000">
            <w:r>
              <w:t>Comment</w:t>
            </w:r>
          </w:p>
        </w:tc>
      </w:tr>
      <w:tr w:rsidR="00EF7D6E" w:rsidRPr="0052584F" w14:paraId="6C7D3412" w14:textId="77777777" w:rsidTr="009D7AD9">
        <w:tc>
          <w:tcPr>
            <w:tcW w:w="1094" w:type="pct"/>
            <w:shd w:val="clear" w:color="auto" w:fill="auto"/>
            <w:vAlign w:val="center"/>
          </w:tcPr>
          <w:p w14:paraId="41145E97" w14:textId="77777777" w:rsidR="00F92BDF" w:rsidRDefault="00000000">
            <w:r>
              <w:t>CBL/CRÚ</w:t>
            </w:r>
          </w:p>
        </w:tc>
        <w:tc>
          <w:tcPr>
            <w:tcW w:w="1077" w:type="pct"/>
            <w:vAlign w:val="center"/>
          </w:tcPr>
          <w:p w14:paraId="457D9C93" w14:textId="77777777" w:rsidR="00F92BDF" w:rsidRDefault="00000000">
            <w:r>
              <w:t>26/4/2024</w:t>
            </w:r>
          </w:p>
        </w:tc>
        <w:tc>
          <w:tcPr>
            <w:tcW w:w="388" w:type="pct"/>
            <w:vAlign w:val="center"/>
          </w:tcPr>
          <w:p w14:paraId="7EEC8572" w14:textId="782EC310" w:rsidR="00F92BDF" w:rsidRDefault="009D7AD9" w:rsidP="009D7AD9">
            <w:pPr>
              <w:jc w:val="center"/>
            </w:pPr>
            <w:r>
              <w:t>OK</w:t>
            </w:r>
          </w:p>
        </w:tc>
        <w:tc>
          <w:tcPr>
            <w:tcW w:w="2441" w:type="pct"/>
          </w:tcPr>
          <w:p w14:paraId="52C862A5" w14:textId="28A47BD8" w:rsidR="00F92BDF" w:rsidRDefault="00000000">
            <w:r>
              <w:t xml:space="preserve">No negative recored; only negative reported on entity </w:t>
            </w:r>
            <w:r w:rsidR="00B86477">
              <w:t>Alloy Dynamics Inc.</w:t>
            </w:r>
          </w:p>
        </w:tc>
      </w:tr>
      <w:tr w:rsidR="001A44E2" w:rsidRPr="0052584F" w14:paraId="68F4CBC8" w14:textId="77777777" w:rsidTr="009D7AD9">
        <w:tc>
          <w:tcPr>
            <w:tcW w:w="1094" w:type="pct"/>
            <w:shd w:val="clear" w:color="auto" w:fill="auto"/>
            <w:vAlign w:val="center"/>
          </w:tcPr>
          <w:p w14:paraId="1A439878" w14:textId="77777777" w:rsidR="00F92BDF" w:rsidRDefault="00000000">
            <w:r>
              <w:t>EWS</w:t>
            </w:r>
          </w:p>
        </w:tc>
        <w:tc>
          <w:tcPr>
            <w:tcW w:w="1077" w:type="pct"/>
            <w:vAlign w:val="center"/>
          </w:tcPr>
          <w:p w14:paraId="2E3CE5DF" w14:textId="77777777" w:rsidR="00F92BDF" w:rsidRDefault="00000000">
            <w:r>
              <w:t>26/4/2024</w:t>
            </w:r>
          </w:p>
        </w:tc>
        <w:tc>
          <w:tcPr>
            <w:tcW w:w="388" w:type="pct"/>
            <w:shd w:val="clear" w:color="auto" w:fill="auto"/>
            <w:vAlign w:val="center"/>
          </w:tcPr>
          <w:p w14:paraId="714B7147" w14:textId="5CCD9831" w:rsidR="009D7AD9" w:rsidRDefault="009D7AD9" w:rsidP="009D7AD9">
            <w:pPr>
              <w:jc w:val="center"/>
            </w:pPr>
            <w:r>
              <w:t>OK</w:t>
            </w:r>
          </w:p>
        </w:tc>
        <w:tc>
          <w:tcPr>
            <w:tcW w:w="2441" w:type="pct"/>
          </w:tcPr>
          <w:p w14:paraId="7645A5C1" w14:textId="77777777" w:rsidR="00F92BDF" w:rsidRDefault="00F92BDF"/>
        </w:tc>
      </w:tr>
      <w:tr w:rsidR="001A44E2" w:rsidRPr="0052584F" w14:paraId="31CCE420" w14:textId="77777777" w:rsidTr="009D7AD9">
        <w:tc>
          <w:tcPr>
            <w:tcW w:w="1094" w:type="pct"/>
            <w:shd w:val="clear" w:color="auto" w:fill="auto"/>
            <w:vAlign w:val="center"/>
          </w:tcPr>
          <w:p w14:paraId="123A9C70" w14:textId="77777777" w:rsidR="00F92BDF" w:rsidRDefault="00000000">
            <w:r>
              <w:t>VAT (DPH)</w:t>
            </w:r>
          </w:p>
        </w:tc>
        <w:tc>
          <w:tcPr>
            <w:tcW w:w="1077" w:type="pct"/>
            <w:vAlign w:val="center"/>
          </w:tcPr>
          <w:p w14:paraId="6D9033ED" w14:textId="77777777" w:rsidR="00F92BDF" w:rsidRDefault="00000000">
            <w:r>
              <w:t>26/4/2024</w:t>
            </w:r>
          </w:p>
        </w:tc>
        <w:tc>
          <w:tcPr>
            <w:tcW w:w="388" w:type="pct"/>
            <w:vAlign w:val="center"/>
          </w:tcPr>
          <w:p w14:paraId="5024F0A0" w14:textId="006DFE5B" w:rsidR="00F92BDF" w:rsidRDefault="009D7AD9" w:rsidP="009D7AD9">
            <w:pPr>
              <w:jc w:val="center"/>
            </w:pPr>
            <w:r>
              <w:t>OK</w:t>
            </w:r>
          </w:p>
        </w:tc>
        <w:tc>
          <w:tcPr>
            <w:tcW w:w="2441" w:type="pct"/>
          </w:tcPr>
          <w:p w14:paraId="343008C3" w14:textId="77777777" w:rsidR="00F92BDF" w:rsidRDefault="00F92BDF"/>
        </w:tc>
      </w:tr>
      <w:tr w:rsidR="001A44E2" w:rsidRPr="0052584F" w14:paraId="703F2540" w14:textId="77777777" w:rsidTr="009D7AD9">
        <w:tc>
          <w:tcPr>
            <w:tcW w:w="1094" w:type="pct"/>
            <w:shd w:val="clear" w:color="auto" w:fill="auto"/>
            <w:vAlign w:val="center"/>
          </w:tcPr>
          <w:p w14:paraId="1C587DD0" w14:textId="77777777" w:rsidR="00F92BDF" w:rsidRDefault="00000000">
            <w:r>
              <w:t>FPT</w:t>
            </w:r>
          </w:p>
        </w:tc>
        <w:tc>
          <w:tcPr>
            <w:tcW w:w="1077" w:type="pct"/>
            <w:vAlign w:val="center"/>
          </w:tcPr>
          <w:p w14:paraId="09DF5468" w14:textId="77777777" w:rsidR="00F92BDF" w:rsidRDefault="00000000">
            <w:r>
              <w:t>26/4/2024</w:t>
            </w:r>
          </w:p>
        </w:tc>
        <w:tc>
          <w:tcPr>
            <w:tcW w:w="388" w:type="pct"/>
            <w:vAlign w:val="center"/>
          </w:tcPr>
          <w:p w14:paraId="57B5C3F7" w14:textId="5A0CFB09" w:rsidR="00F92BDF" w:rsidRDefault="009D7AD9" w:rsidP="009D7AD9">
            <w:pPr>
              <w:jc w:val="center"/>
            </w:pPr>
            <w:r>
              <w:t>N/A</w:t>
            </w:r>
          </w:p>
        </w:tc>
        <w:tc>
          <w:tcPr>
            <w:tcW w:w="2441" w:type="pct"/>
          </w:tcPr>
          <w:p w14:paraId="732BBEAF" w14:textId="77777777" w:rsidR="00F92BDF" w:rsidRDefault="00000000">
            <w:r>
              <w:t>Existing customer</w:t>
            </w:r>
          </w:p>
        </w:tc>
      </w:tr>
      <w:tr w:rsidR="001A44E2" w:rsidRPr="0052584F" w14:paraId="0786C6EE" w14:textId="77777777" w:rsidTr="009D7AD9">
        <w:tc>
          <w:tcPr>
            <w:tcW w:w="1094" w:type="pct"/>
            <w:shd w:val="clear" w:color="auto" w:fill="auto"/>
            <w:vAlign w:val="center"/>
          </w:tcPr>
          <w:p w14:paraId="4184F4D2" w14:textId="77777777" w:rsidR="00F92BDF" w:rsidRDefault="00000000">
            <w:r>
              <w:t>Last check from FA</w:t>
            </w:r>
          </w:p>
        </w:tc>
        <w:tc>
          <w:tcPr>
            <w:tcW w:w="1077" w:type="pct"/>
            <w:vAlign w:val="center"/>
          </w:tcPr>
          <w:p w14:paraId="24B0FDC6" w14:textId="77777777" w:rsidR="00F92BDF" w:rsidRDefault="00000000">
            <w:r>
              <w:t>26/4/2024</w:t>
            </w:r>
          </w:p>
        </w:tc>
        <w:tc>
          <w:tcPr>
            <w:tcW w:w="388" w:type="pct"/>
            <w:vAlign w:val="center"/>
          </w:tcPr>
          <w:p w14:paraId="35045478" w14:textId="7C7DE4DA" w:rsidR="00F92BDF" w:rsidRDefault="009D7AD9" w:rsidP="009D7AD9">
            <w:pPr>
              <w:jc w:val="center"/>
            </w:pPr>
            <w:r>
              <w:t>N/A</w:t>
            </w:r>
          </w:p>
        </w:tc>
        <w:tc>
          <w:tcPr>
            <w:tcW w:w="2441" w:type="pct"/>
            <w:vAlign w:val="center"/>
          </w:tcPr>
          <w:p w14:paraId="02295AA3" w14:textId="77777777" w:rsidR="00F92BDF" w:rsidRDefault="00000000">
            <w:r>
              <w:t>No check</w:t>
            </w:r>
          </w:p>
        </w:tc>
      </w:tr>
    </w:tbl>
    <w:p w14:paraId="588A5647" w14:textId="77777777" w:rsidR="005B3CE7" w:rsidRDefault="005B3CE7" w:rsidP="00112486">
      <w:pPr>
        <w:spacing w:before="360" w:after="120"/>
        <w:ind w:left="142"/>
      </w:pPr>
      <w:r>
        <w:t>Leveraged Transactions: adjusted leverage ratio for 2023 is 4.9x</w:t>
      </w:r>
    </w:p>
    <w:tbl>
      <w:tblPr>
        <w:tblW w:w="4480" w:type="dxa"/>
        <w:tblLook w:val="04A0" w:firstRow="1" w:lastRow="0" w:firstColumn="1" w:lastColumn="0" w:noHBand="0" w:noVBand="1"/>
      </w:tblPr>
      <w:tblGrid>
        <w:gridCol w:w="3822"/>
        <w:gridCol w:w="747"/>
      </w:tblGrid>
      <w:tr w:rsidR="00B243A0" w14:paraId="4B0730D5" w14:textId="77777777" w:rsidTr="00B243A0">
        <w:trPr>
          <w:trHeight w:val="300"/>
        </w:trPr>
        <w:tc>
          <w:tcPr>
            <w:tcW w:w="4480" w:type="dxa"/>
            <w:gridSpan w:val="2"/>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6D4C145" w14:textId="77777777" w:rsidR="00B243A0" w:rsidRDefault="00B243A0">
            <w:pPr>
              <w:jc w:val="center"/>
              <w:rPr>
                <w:rFonts w:ascii="Calibri" w:hAnsi="Calibri" w:cs="Calibri"/>
                <w:color w:val="000000"/>
                <w:sz w:val="22"/>
                <w:szCs w:val="22"/>
                <w:lang w:val="en-US"/>
              </w:rPr>
            </w:pPr>
            <w:r>
              <w:rPr>
                <w:rFonts w:ascii="Calibri" w:hAnsi="Calibri" w:cs="Calibri"/>
                <w:color w:val="000000"/>
                <w:sz w:val="22"/>
                <w:szCs w:val="22"/>
              </w:rPr>
              <w:t>Leverage transaction assessment</w:t>
            </w:r>
          </w:p>
        </w:tc>
      </w:tr>
      <w:tr w:rsidR="00B243A0" w14:paraId="18BD7289" w14:textId="77777777" w:rsidTr="00B243A0">
        <w:trPr>
          <w:trHeight w:val="300"/>
        </w:trPr>
        <w:tc>
          <w:tcPr>
            <w:tcW w:w="3822" w:type="dxa"/>
            <w:tcBorders>
              <w:top w:val="nil"/>
              <w:left w:val="single" w:sz="4" w:space="0" w:color="auto"/>
              <w:bottom w:val="single" w:sz="4" w:space="0" w:color="auto"/>
              <w:right w:val="single" w:sz="4" w:space="0" w:color="auto"/>
            </w:tcBorders>
            <w:shd w:val="clear" w:color="auto" w:fill="auto"/>
            <w:noWrap/>
            <w:vAlign w:val="bottom"/>
            <w:hideMark/>
          </w:tcPr>
          <w:p w14:paraId="6DE94121" w14:textId="77777777" w:rsidR="00B243A0" w:rsidRDefault="00B243A0">
            <w:pPr>
              <w:rPr>
                <w:rFonts w:ascii="Calibri" w:hAnsi="Calibri" w:cs="Calibri"/>
                <w:color w:val="000000"/>
                <w:sz w:val="22"/>
                <w:szCs w:val="22"/>
              </w:rPr>
            </w:pPr>
            <w:r>
              <w:rPr>
                <w:rFonts w:ascii="Calibri" w:hAnsi="Calibri" w:cs="Calibri"/>
                <w:color w:val="000000"/>
                <w:sz w:val="22"/>
                <w:szCs w:val="22"/>
              </w:rPr>
              <w:t>Level of assessment</w:t>
            </w:r>
          </w:p>
        </w:tc>
        <w:tc>
          <w:tcPr>
            <w:tcW w:w="658" w:type="dxa"/>
            <w:tcBorders>
              <w:top w:val="nil"/>
              <w:left w:val="nil"/>
              <w:bottom w:val="single" w:sz="4" w:space="0" w:color="auto"/>
              <w:right w:val="single" w:sz="4" w:space="0" w:color="auto"/>
            </w:tcBorders>
            <w:shd w:val="clear" w:color="000000" w:fill="F8CBAD"/>
            <w:noWrap/>
            <w:vAlign w:val="bottom"/>
            <w:hideMark/>
          </w:tcPr>
          <w:p w14:paraId="28748274" w14:textId="77777777" w:rsidR="00B243A0" w:rsidRDefault="00B243A0">
            <w:pPr>
              <w:jc w:val="center"/>
              <w:rPr>
                <w:rFonts w:ascii="Calibri" w:hAnsi="Calibri" w:cs="Calibri"/>
                <w:color w:val="000000"/>
                <w:sz w:val="22"/>
                <w:szCs w:val="22"/>
              </w:rPr>
            </w:pPr>
            <w:r>
              <w:rPr>
                <w:rFonts w:ascii="Calibri" w:hAnsi="Calibri" w:cs="Calibri"/>
                <w:color w:val="000000"/>
                <w:sz w:val="22"/>
                <w:szCs w:val="22"/>
              </w:rPr>
              <w:t>Single</w:t>
            </w:r>
          </w:p>
        </w:tc>
      </w:tr>
      <w:tr w:rsidR="00B243A0" w14:paraId="4037382D" w14:textId="77777777" w:rsidTr="00B243A0">
        <w:trPr>
          <w:trHeight w:val="300"/>
        </w:trPr>
        <w:tc>
          <w:tcPr>
            <w:tcW w:w="3822" w:type="dxa"/>
            <w:tcBorders>
              <w:top w:val="nil"/>
              <w:left w:val="single" w:sz="4" w:space="0" w:color="auto"/>
              <w:bottom w:val="single" w:sz="4" w:space="0" w:color="auto"/>
              <w:right w:val="single" w:sz="4" w:space="0" w:color="auto"/>
            </w:tcBorders>
            <w:shd w:val="clear" w:color="auto" w:fill="auto"/>
            <w:noWrap/>
            <w:vAlign w:val="bottom"/>
            <w:hideMark/>
          </w:tcPr>
          <w:p w14:paraId="36DFB5CE" w14:textId="77777777" w:rsidR="00B243A0" w:rsidRDefault="00B243A0">
            <w:pPr>
              <w:rPr>
                <w:rFonts w:ascii="Calibri" w:hAnsi="Calibri" w:cs="Calibri"/>
                <w:color w:val="000000"/>
                <w:sz w:val="22"/>
                <w:szCs w:val="22"/>
              </w:rPr>
            </w:pPr>
            <w:r>
              <w:rPr>
                <w:rFonts w:ascii="Calibri" w:hAnsi="Calibri" w:cs="Calibri"/>
                <w:color w:val="000000"/>
                <w:sz w:val="22"/>
                <w:szCs w:val="22"/>
              </w:rPr>
              <w:t>Financial Sponsor ownership (&gt;50%)</w:t>
            </w:r>
          </w:p>
        </w:tc>
        <w:tc>
          <w:tcPr>
            <w:tcW w:w="658" w:type="dxa"/>
            <w:tcBorders>
              <w:top w:val="nil"/>
              <w:left w:val="nil"/>
              <w:bottom w:val="single" w:sz="4" w:space="0" w:color="auto"/>
              <w:right w:val="single" w:sz="4" w:space="0" w:color="auto"/>
            </w:tcBorders>
            <w:shd w:val="clear" w:color="000000" w:fill="F8CBAD"/>
            <w:noWrap/>
            <w:vAlign w:val="bottom"/>
            <w:hideMark/>
          </w:tcPr>
          <w:p w14:paraId="3F4E76FA" w14:textId="77777777" w:rsidR="00B243A0" w:rsidRDefault="00B243A0">
            <w:pPr>
              <w:jc w:val="center"/>
              <w:rPr>
                <w:rFonts w:ascii="Calibri" w:hAnsi="Calibri" w:cs="Calibri"/>
                <w:color w:val="000000"/>
                <w:sz w:val="22"/>
                <w:szCs w:val="22"/>
              </w:rPr>
            </w:pPr>
            <w:r>
              <w:rPr>
                <w:rFonts w:ascii="Calibri" w:hAnsi="Calibri" w:cs="Calibri"/>
                <w:color w:val="000000"/>
                <w:sz w:val="22"/>
                <w:szCs w:val="22"/>
              </w:rPr>
              <w:t>No</w:t>
            </w:r>
          </w:p>
        </w:tc>
      </w:tr>
      <w:tr w:rsidR="00B243A0" w14:paraId="37DBF6A7" w14:textId="77777777" w:rsidTr="00B243A0">
        <w:trPr>
          <w:trHeight w:val="300"/>
        </w:trPr>
        <w:tc>
          <w:tcPr>
            <w:tcW w:w="3822" w:type="dxa"/>
            <w:tcBorders>
              <w:top w:val="nil"/>
              <w:left w:val="single" w:sz="4" w:space="0" w:color="auto"/>
              <w:bottom w:val="single" w:sz="4" w:space="0" w:color="auto"/>
              <w:right w:val="single" w:sz="4" w:space="0" w:color="auto"/>
            </w:tcBorders>
            <w:shd w:val="clear" w:color="auto" w:fill="auto"/>
            <w:noWrap/>
            <w:vAlign w:val="bottom"/>
            <w:hideMark/>
          </w:tcPr>
          <w:p w14:paraId="2172EAA5" w14:textId="77777777" w:rsidR="00B243A0" w:rsidRDefault="00B243A0">
            <w:pPr>
              <w:rPr>
                <w:rFonts w:ascii="Calibri" w:hAnsi="Calibri" w:cs="Calibri"/>
                <w:color w:val="000000"/>
                <w:sz w:val="22"/>
                <w:szCs w:val="22"/>
              </w:rPr>
            </w:pPr>
            <w:r>
              <w:rPr>
                <w:rFonts w:ascii="Calibri" w:hAnsi="Calibri" w:cs="Calibri"/>
                <w:color w:val="000000"/>
                <w:sz w:val="22"/>
                <w:szCs w:val="22"/>
              </w:rPr>
              <w:t>Proposed rating:</w:t>
            </w:r>
          </w:p>
        </w:tc>
        <w:tc>
          <w:tcPr>
            <w:tcW w:w="658" w:type="dxa"/>
            <w:tcBorders>
              <w:top w:val="nil"/>
              <w:left w:val="nil"/>
              <w:bottom w:val="single" w:sz="4" w:space="0" w:color="auto"/>
              <w:right w:val="single" w:sz="4" w:space="0" w:color="auto"/>
            </w:tcBorders>
            <w:shd w:val="clear" w:color="000000" w:fill="F8CBAD"/>
            <w:noWrap/>
            <w:vAlign w:val="bottom"/>
            <w:hideMark/>
          </w:tcPr>
          <w:p w14:paraId="50A07CAE" w14:textId="77777777" w:rsidR="00B243A0" w:rsidRDefault="00B243A0">
            <w:pPr>
              <w:jc w:val="center"/>
              <w:rPr>
                <w:rFonts w:ascii="Calibri" w:hAnsi="Calibri" w:cs="Calibri"/>
                <w:color w:val="000000"/>
                <w:sz w:val="22"/>
                <w:szCs w:val="22"/>
              </w:rPr>
            </w:pPr>
            <w:r>
              <w:rPr>
                <w:rFonts w:ascii="Calibri" w:hAnsi="Calibri" w:cs="Calibri"/>
                <w:color w:val="000000"/>
                <w:sz w:val="22"/>
                <w:szCs w:val="22"/>
              </w:rPr>
              <w:t>5A-10</w:t>
            </w:r>
          </w:p>
        </w:tc>
      </w:tr>
      <w:tr w:rsidR="00B243A0" w14:paraId="40383A5E" w14:textId="77777777" w:rsidTr="00B243A0">
        <w:trPr>
          <w:trHeight w:val="300"/>
        </w:trPr>
        <w:tc>
          <w:tcPr>
            <w:tcW w:w="3822" w:type="dxa"/>
            <w:tcBorders>
              <w:top w:val="nil"/>
              <w:left w:val="single" w:sz="4" w:space="0" w:color="auto"/>
              <w:bottom w:val="single" w:sz="4" w:space="0" w:color="auto"/>
              <w:right w:val="single" w:sz="4" w:space="0" w:color="auto"/>
            </w:tcBorders>
            <w:shd w:val="clear" w:color="auto" w:fill="auto"/>
            <w:noWrap/>
            <w:vAlign w:val="bottom"/>
            <w:hideMark/>
          </w:tcPr>
          <w:p w14:paraId="0C923D89" w14:textId="77777777" w:rsidR="00B243A0" w:rsidRDefault="00B243A0">
            <w:pPr>
              <w:rPr>
                <w:rFonts w:ascii="Calibri" w:hAnsi="Calibri" w:cs="Calibri"/>
                <w:color w:val="000000"/>
                <w:sz w:val="22"/>
                <w:szCs w:val="22"/>
              </w:rPr>
            </w:pPr>
            <w:r>
              <w:rPr>
                <w:rFonts w:ascii="Calibri" w:hAnsi="Calibri" w:cs="Calibri"/>
                <w:color w:val="000000"/>
                <w:sz w:val="22"/>
                <w:szCs w:val="22"/>
              </w:rPr>
              <w:t>Bank exposure &gt; EUR 5M</w:t>
            </w:r>
          </w:p>
        </w:tc>
        <w:tc>
          <w:tcPr>
            <w:tcW w:w="658" w:type="dxa"/>
            <w:tcBorders>
              <w:top w:val="nil"/>
              <w:left w:val="nil"/>
              <w:bottom w:val="single" w:sz="4" w:space="0" w:color="auto"/>
              <w:right w:val="single" w:sz="4" w:space="0" w:color="auto"/>
            </w:tcBorders>
            <w:shd w:val="clear" w:color="000000" w:fill="F8CBAD"/>
            <w:noWrap/>
            <w:vAlign w:val="bottom"/>
            <w:hideMark/>
          </w:tcPr>
          <w:p w14:paraId="614F7494" w14:textId="77777777" w:rsidR="00B243A0" w:rsidRDefault="00B243A0">
            <w:pPr>
              <w:jc w:val="center"/>
              <w:rPr>
                <w:rFonts w:ascii="Calibri" w:hAnsi="Calibri" w:cs="Calibri"/>
                <w:color w:val="000000"/>
                <w:sz w:val="22"/>
                <w:szCs w:val="22"/>
              </w:rPr>
            </w:pPr>
            <w:r>
              <w:rPr>
                <w:rFonts w:ascii="Calibri" w:hAnsi="Calibri" w:cs="Calibri"/>
                <w:color w:val="000000"/>
                <w:sz w:val="22"/>
                <w:szCs w:val="22"/>
              </w:rPr>
              <w:t>Yes</w:t>
            </w:r>
          </w:p>
        </w:tc>
      </w:tr>
      <w:tr w:rsidR="00B243A0" w14:paraId="37D1E593" w14:textId="77777777" w:rsidTr="00B243A0">
        <w:trPr>
          <w:trHeight w:val="300"/>
        </w:trPr>
        <w:tc>
          <w:tcPr>
            <w:tcW w:w="3822" w:type="dxa"/>
            <w:tcBorders>
              <w:top w:val="nil"/>
              <w:left w:val="single" w:sz="4" w:space="0" w:color="auto"/>
              <w:bottom w:val="single" w:sz="4" w:space="0" w:color="auto"/>
              <w:right w:val="single" w:sz="4" w:space="0" w:color="auto"/>
            </w:tcBorders>
            <w:shd w:val="clear" w:color="auto" w:fill="auto"/>
            <w:noWrap/>
            <w:vAlign w:val="bottom"/>
            <w:hideMark/>
          </w:tcPr>
          <w:p w14:paraId="4823F181" w14:textId="77777777" w:rsidR="00B243A0" w:rsidRDefault="00B243A0">
            <w:pPr>
              <w:rPr>
                <w:rFonts w:ascii="Calibri" w:hAnsi="Calibri" w:cs="Calibri"/>
                <w:color w:val="000000"/>
                <w:sz w:val="22"/>
                <w:szCs w:val="22"/>
              </w:rPr>
            </w:pPr>
            <w:r>
              <w:rPr>
                <w:rFonts w:ascii="Calibri" w:hAnsi="Calibri" w:cs="Calibri"/>
                <w:color w:val="000000"/>
                <w:sz w:val="22"/>
                <w:szCs w:val="22"/>
              </w:rPr>
              <w:t>Annual sales &gt; EUR 50M</w:t>
            </w:r>
          </w:p>
        </w:tc>
        <w:tc>
          <w:tcPr>
            <w:tcW w:w="658" w:type="dxa"/>
            <w:tcBorders>
              <w:top w:val="nil"/>
              <w:left w:val="nil"/>
              <w:bottom w:val="single" w:sz="4" w:space="0" w:color="auto"/>
              <w:right w:val="single" w:sz="4" w:space="0" w:color="auto"/>
            </w:tcBorders>
            <w:shd w:val="clear" w:color="000000" w:fill="F8CBAD"/>
            <w:noWrap/>
            <w:vAlign w:val="bottom"/>
            <w:hideMark/>
          </w:tcPr>
          <w:p w14:paraId="25F4B509" w14:textId="77777777" w:rsidR="00B243A0" w:rsidRDefault="00B243A0">
            <w:pPr>
              <w:jc w:val="center"/>
              <w:rPr>
                <w:rFonts w:ascii="Calibri" w:hAnsi="Calibri" w:cs="Calibri"/>
                <w:color w:val="000000"/>
                <w:sz w:val="22"/>
                <w:szCs w:val="22"/>
              </w:rPr>
            </w:pPr>
            <w:r>
              <w:rPr>
                <w:rFonts w:ascii="Calibri" w:hAnsi="Calibri" w:cs="Calibri"/>
                <w:color w:val="000000"/>
                <w:sz w:val="22"/>
                <w:szCs w:val="22"/>
              </w:rPr>
              <w:t>Yes</w:t>
            </w:r>
          </w:p>
        </w:tc>
      </w:tr>
      <w:tr w:rsidR="00B243A0" w14:paraId="773C18CF" w14:textId="77777777" w:rsidTr="00B243A0">
        <w:trPr>
          <w:trHeight w:val="300"/>
        </w:trPr>
        <w:tc>
          <w:tcPr>
            <w:tcW w:w="3822" w:type="dxa"/>
            <w:tcBorders>
              <w:top w:val="nil"/>
              <w:left w:val="single" w:sz="4" w:space="0" w:color="auto"/>
              <w:bottom w:val="single" w:sz="4" w:space="0" w:color="auto"/>
              <w:right w:val="single" w:sz="4" w:space="0" w:color="auto"/>
            </w:tcBorders>
            <w:shd w:val="clear" w:color="auto" w:fill="auto"/>
            <w:noWrap/>
            <w:vAlign w:val="bottom"/>
            <w:hideMark/>
          </w:tcPr>
          <w:p w14:paraId="0A6100F0" w14:textId="77777777" w:rsidR="00B243A0" w:rsidRDefault="00B243A0">
            <w:pPr>
              <w:rPr>
                <w:rFonts w:ascii="Calibri" w:hAnsi="Calibri" w:cs="Calibri"/>
                <w:color w:val="000000"/>
                <w:sz w:val="22"/>
                <w:szCs w:val="22"/>
              </w:rPr>
            </w:pPr>
            <w:r>
              <w:rPr>
                <w:rFonts w:ascii="Calibri" w:hAnsi="Calibri" w:cs="Calibri"/>
                <w:color w:val="000000"/>
                <w:sz w:val="22"/>
                <w:szCs w:val="22"/>
              </w:rPr>
              <w:t>Balance sheet &gt; EUR 43M</w:t>
            </w:r>
          </w:p>
        </w:tc>
        <w:tc>
          <w:tcPr>
            <w:tcW w:w="658" w:type="dxa"/>
            <w:tcBorders>
              <w:top w:val="nil"/>
              <w:left w:val="nil"/>
              <w:bottom w:val="single" w:sz="4" w:space="0" w:color="auto"/>
              <w:right w:val="single" w:sz="4" w:space="0" w:color="auto"/>
            </w:tcBorders>
            <w:shd w:val="clear" w:color="000000" w:fill="F8CBAD"/>
            <w:noWrap/>
            <w:vAlign w:val="bottom"/>
            <w:hideMark/>
          </w:tcPr>
          <w:p w14:paraId="466DA412" w14:textId="77777777" w:rsidR="00B243A0" w:rsidRDefault="00B243A0">
            <w:pPr>
              <w:jc w:val="center"/>
              <w:rPr>
                <w:rFonts w:ascii="Calibri" w:hAnsi="Calibri" w:cs="Calibri"/>
                <w:color w:val="000000"/>
                <w:sz w:val="22"/>
                <w:szCs w:val="22"/>
              </w:rPr>
            </w:pPr>
            <w:r>
              <w:rPr>
                <w:rFonts w:ascii="Calibri" w:hAnsi="Calibri" w:cs="Calibri"/>
                <w:color w:val="000000"/>
                <w:sz w:val="22"/>
                <w:szCs w:val="22"/>
              </w:rPr>
              <w:t>Yes</w:t>
            </w:r>
          </w:p>
        </w:tc>
      </w:tr>
      <w:tr w:rsidR="00B243A0" w14:paraId="127FE0E4" w14:textId="77777777" w:rsidTr="00B243A0">
        <w:trPr>
          <w:trHeight w:val="300"/>
        </w:trPr>
        <w:tc>
          <w:tcPr>
            <w:tcW w:w="3822" w:type="dxa"/>
            <w:tcBorders>
              <w:top w:val="nil"/>
              <w:left w:val="single" w:sz="4" w:space="0" w:color="auto"/>
              <w:bottom w:val="single" w:sz="4" w:space="0" w:color="auto"/>
              <w:right w:val="single" w:sz="4" w:space="0" w:color="auto"/>
            </w:tcBorders>
            <w:shd w:val="clear" w:color="auto" w:fill="auto"/>
            <w:noWrap/>
            <w:vAlign w:val="bottom"/>
            <w:hideMark/>
          </w:tcPr>
          <w:p w14:paraId="5790A7F9" w14:textId="77777777" w:rsidR="00B243A0" w:rsidRDefault="00B243A0">
            <w:pPr>
              <w:rPr>
                <w:rFonts w:ascii="Calibri" w:hAnsi="Calibri" w:cs="Calibri"/>
                <w:color w:val="000000"/>
                <w:sz w:val="22"/>
                <w:szCs w:val="22"/>
              </w:rPr>
            </w:pPr>
            <w:r>
              <w:rPr>
                <w:rFonts w:ascii="Calibri" w:hAnsi="Calibri" w:cs="Calibri"/>
                <w:color w:val="000000"/>
                <w:sz w:val="22"/>
                <w:szCs w:val="22"/>
              </w:rPr>
              <w:t>Number of employees &gt;=250</w:t>
            </w:r>
          </w:p>
        </w:tc>
        <w:tc>
          <w:tcPr>
            <w:tcW w:w="658" w:type="dxa"/>
            <w:tcBorders>
              <w:top w:val="nil"/>
              <w:left w:val="nil"/>
              <w:bottom w:val="single" w:sz="4" w:space="0" w:color="auto"/>
              <w:right w:val="single" w:sz="4" w:space="0" w:color="auto"/>
            </w:tcBorders>
            <w:shd w:val="clear" w:color="000000" w:fill="F8CBAD"/>
            <w:noWrap/>
            <w:vAlign w:val="bottom"/>
            <w:hideMark/>
          </w:tcPr>
          <w:p w14:paraId="6388CF26" w14:textId="77777777" w:rsidR="00B243A0" w:rsidRDefault="00B243A0">
            <w:pPr>
              <w:jc w:val="center"/>
              <w:rPr>
                <w:rFonts w:ascii="Calibri" w:hAnsi="Calibri" w:cs="Calibri"/>
                <w:color w:val="000000"/>
                <w:sz w:val="22"/>
                <w:szCs w:val="22"/>
              </w:rPr>
            </w:pPr>
            <w:r>
              <w:rPr>
                <w:rFonts w:ascii="Calibri" w:hAnsi="Calibri" w:cs="Calibri"/>
                <w:color w:val="000000"/>
                <w:sz w:val="22"/>
                <w:szCs w:val="22"/>
              </w:rPr>
              <w:t>No</w:t>
            </w:r>
          </w:p>
        </w:tc>
      </w:tr>
    </w:tbl>
    <w:p w14:paraId="0AF9F003" w14:textId="77777777" w:rsidR="00B243A0" w:rsidRDefault="00B243A0" w:rsidP="00B243A0">
      <w:pPr>
        <w:spacing w:before="360" w:after="120"/>
        <w:rPr>
          <w:rFonts w:ascii="Futura" w:hAnsi="Futura"/>
          <w:bCs/>
          <w:iCs/>
          <w:sz w:val="20"/>
          <w:szCs w:val="19"/>
          <w:u w:val="single"/>
          <w:lang w:val="en-US" w:eastAsia="de-DE"/>
        </w:rPr>
      </w:pPr>
    </w:p>
    <w:tbl>
      <w:tblPr>
        <w:tblW w:w="3676" w:type="dxa"/>
        <w:tblLook w:val="04A0" w:firstRow="1" w:lastRow="0" w:firstColumn="1" w:lastColumn="0" w:noHBand="0" w:noVBand="1"/>
      </w:tblPr>
      <w:tblGrid>
        <w:gridCol w:w="2132"/>
        <w:gridCol w:w="772"/>
        <w:gridCol w:w="772"/>
      </w:tblGrid>
      <w:tr w:rsidR="00B243A0" w14:paraId="4CA312F5" w14:textId="77777777" w:rsidTr="00B243A0">
        <w:trPr>
          <w:trHeight w:val="300"/>
        </w:trPr>
        <w:tc>
          <w:tcPr>
            <w:tcW w:w="2132"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ADB27F9" w14:textId="77777777" w:rsidR="00B243A0" w:rsidRDefault="00B243A0">
            <w:pPr>
              <w:rPr>
                <w:rFonts w:ascii="Calibri" w:hAnsi="Calibri" w:cs="Calibri"/>
                <w:color w:val="000000"/>
                <w:sz w:val="22"/>
                <w:szCs w:val="22"/>
                <w:lang w:val="en-US"/>
              </w:rPr>
            </w:pPr>
            <w:r>
              <w:rPr>
                <w:rFonts w:ascii="Calibri" w:hAnsi="Calibri" w:cs="Calibri"/>
                <w:color w:val="000000"/>
                <w:sz w:val="22"/>
                <w:szCs w:val="22"/>
              </w:rPr>
              <w:t>Leverage / Year</w:t>
            </w:r>
          </w:p>
        </w:tc>
        <w:tc>
          <w:tcPr>
            <w:tcW w:w="772" w:type="dxa"/>
            <w:tcBorders>
              <w:top w:val="single" w:sz="4" w:space="0" w:color="auto"/>
              <w:left w:val="nil"/>
              <w:bottom w:val="single" w:sz="4" w:space="0" w:color="auto"/>
              <w:right w:val="single" w:sz="4" w:space="0" w:color="auto"/>
            </w:tcBorders>
            <w:shd w:val="clear" w:color="000000" w:fill="DDEBF7"/>
            <w:noWrap/>
            <w:vAlign w:val="bottom"/>
            <w:hideMark/>
          </w:tcPr>
          <w:p w14:paraId="14992A11" w14:textId="77777777" w:rsidR="00B243A0" w:rsidRDefault="00B243A0">
            <w:pPr>
              <w:jc w:val="right"/>
              <w:rPr>
                <w:rFonts w:ascii="Calibri" w:hAnsi="Calibri" w:cs="Calibri"/>
                <w:color w:val="000000"/>
                <w:sz w:val="22"/>
                <w:szCs w:val="22"/>
              </w:rPr>
            </w:pPr>
            <w:r>
              <w:rPr>
                <w:rFonts w:ascii="Calibri" w:hAnsi="Calibri" w:cs="Calibri"/>
                <w:color w:val="000000"/>
                <w:sz w:val="22"/>
                <w:szCs w:val="22"/>
              </w:rPr>
              <w:t>2022</w:t>
            </w:r>
          </w:p>
        </w:tc>
        <w:tc>
          <w:tcPr>
            <w:tcW w:w="772" w:type="dxa"/>
            <w:tcBorders>
              <w:top w:val="single" w:sz="4" w:space="0" w:color="auto"/>
              <w:left w:val="nil"/>
              <w:bottom w:val="single" w:sz="4" w:space="0" w:color="auto"/>
              <w:right w:val="single" w:sz="4" w:space="0" w:color="auto"/>
            </w:tcBorders>
            <w:shd w:val="clear" w:color="000000" w:fill="DDEBF7"/>
            <w:noWrap/>
            <w:vAlign w:val="bottom"/>
            <w:hideMark/>
          </w:tcPr>
          <w:p w14:paraId="52EF97E5" w14:textId="77777777" w:rsidR="00B243A0" w:rsidRDefault="00B243A0">
            <w:pPr>
              <w:jc w:val="right"/>
              <w:rPr>
                <w:rFonts w:ascii="Calibri" w:hAnsi="Calibri" w:cs="Calibri"/>
                <w:color w:val="000000"/>
                <w:sz w:val="22"/>
                <w:szCs w:val="22"/>
              </w:rPr>
            </w:pPr>
            <w:r>
              <w:rPr>
                <w:rFonts w:ascii="Calibri" w:hAnsi="Calibri" w:cs="Calibri"/>
                <w:color w:val="000000"/>
                <w:sz w:val="22"/>
                <w:szCs w:val="22"/>
              </w:rPr>
              <w:t>2023</w:t>
            </w:r>
          </w:p>
        </w:tc>
      </w:tr>
      <w:tr w:rsidR="00B243A0" w14:paraId="03946A49" w14:textId="77777777" w:rsidTr="00B243A0">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271B0C3C" w14:textId="77777777" w:rsidR="00B243A0" w:rsidRDefault="00B243A0">
            <w:pPr>
              <w:rPr>
                <w:rFonts w:ascii="Calibri" w:hAnsi="Calibri" w:cs="Calibri"/>
                <w:color w:val="000000"/>
                <w:sz w:val="22"/>
                <w:szCs w:val="22"/>
              </w:rPr>
            </w:pPr>
            <w:r>
              <w:rPr>
                <w:rFonts w:ascii="Calibri" w:hAnsi="Calibri" w:cs="Calibri"/>
                <w:color w:val="000000"/>
                <w:sz w:val="22"/>
                <w:szCs w:val="22"/>
              </w:rPr>
              <w:t>Leverage ratio (ECB)</w:t>
            </w:r>
          </w:p>
        </w:tc>
        <w:tc>
          <w:tcPr>
            <w:tcW w:w="772" w:type="dxa"/>
            <w:tcBorders>
              <w:top w:val="nil"/>
              <w:left w:val="nil"/>
              <w:bottom w:val="single" w:sz="4" w:space="0" w:color="auto"/>
              <w:right w:val="single" w:sz="4" w:space="0" w:color="auto"/>
            </w:tcBorders>
            <w:shd w:val="clear" w:color="auto" w:fill="auto"/>
            <w:noWrap/>
            <w:vAlign w:val="bottom"/>
            <w:hideMark/>
          </w:tcPr>
          <w:p w14:paraId="53B11B5C" w14:textId="77777777" w:rsidR="00B243A0" w:rsidRDefault="00B243A0">
            <w:pPr>
              <w:jc w:val="right"/>
              <w:rPr>
                <w:rFonts w:ascii="Calibri" w:hAnsi="Calibri" w:cs="Calibri"/>
                <w:color w:val="000000"/>
                <w:sz w:val="22"/>
                <w:szCs w:val="22"/>
              </w:rPr>
            </w:pPr>
            <w:r>
              <w:rPr>
                <w:rFonts w:ascii="Calibri" w:hAnsi="Calibri" w:cs="Calibri"/>
                <w:color w:val="000000"/>
                <w:sz w:val="22"/>
                <w:szCs w:val="22"/>
              </w:rPr>
              <w:t>2,1</w:t>
            </w:r>
          </w:p>
        </w:tc>
        <w:tc>
          <w:tcPr>
            <w:tcW w:w="772" w:type="dxa"/>
            <w:tcBorders>
              <w:top w:val="nil"/>
              <w:left w:val="nil"/>
              <w:bottom w:val="single" w:sz="4" w:space="0" w:color="auto"/>
              <w:right w:val="single" w:sz="4" w:space="0" w:color="auto"/>
            </w:tcBorders>
            <w:shd w:val="clear" w:color="auto" w:fill="auto"/>
            <w:noWrap/>
            <w:vAlign w:val="bottom"/>
            <w:hideMark/>
          </w:tcPr>
          <w:p w14:paraId="4C736FCA" w14:textId="77777777" w:rsidR="00B243A0" w:rsidRDefault="00B243A0">
            <w:pPr>
              <w:jc w:val="right"/>
              <w:rPr>
                <w:rFonts w:ascii="Calibri" w:hAnsi="Calibri" w:cs="Calibri"/>
                <w:color w:val="000000"/>
                <w:sz w:val="22"/>
                <w:szCs w:val="22"/>
              </w:rPr>
            </w:pPr>
            <w:r>
              <w:rPr>
                <w:rFonts w:ascii="Calibri" w:hAnsi="Calibri" w:cs="Calibri"/>
                <w:color w:val="000000"/>
                <w:sz w:val="22"/>
                <w:szCs w:val="22"/>
              </w:rPr>
              <w:t>3,5</w:t>
            </w:r>
          </w:p>
        </w:tc>
      </w:tr>
    </w:tbl>
    <w:p w14:paraId="41F18D82" w14:textId="77777777" w:rsidR="00BE6A18" w:rsidRDefault="00BE6A18" w:rsidP="005453F9">
      <w:pPr>
        <w:spacing w:before="360" w:after="120"/>
      </w:pPr>
      <w:r>
        <w:t>Guarantor(s) – Limit – not relevant</w:t>
      </w:r>
    </w:p>
    <w:p w14:paraId="2057C760" w14:textId="77777777" w:rsidR="00304127" w:rsidRPr="00241CEC" w:rsidRDefault="00304127" w:rsidP="00112486">
      <w:pPr>
        <w:spacing w:before="360" w:after="120"/>
        <w:ind w:left="142"/>
        <w:rPr>
          <w:rFonts w:ascii="Futura" w:hAnsi="Futura"/>
          <w:b/>
          <w:i/>
          <w:sz w:val="20"/>
          <w:szCs w:val="19"/>
          <w:u w:val="single"/>
          <w:lang w:val="en-US" w:eastAsia="de-DE"/>
        </w:rPr>
      </w:pPr>
    </w:p>
    <w:p w14:paraId="1A3A2091" w14:textId="77777777" w:rsidR="00BA2335" w:rsidRPr="00A20D53" w:rsidRDefault="00C17A05" w:rsidP="00112486">
      <w:pPr>
        <w:pStyle w:val="Heading1"/>
      </w:pPr>
      <w:r>
        <w:t xml:space="preserve">CREDIT EVALUATION </w:t>
      </w:r>
    </w:p>
    <w:p w14:paraId="43002B26" w14:textId="77777777" w:rsidR="00782AB4" w:rsidRPr="00A20D53" w:rsidRDefault="00BA2335" w:rsidP="00112486">
      <w:pPr>
        <w:pStyle w:val="Heading2"/>
      </w:pPr>
      <w:r>
        <w:t>Customer Profile and Business Environment</w:t>
      </w: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4"/>
        <w:gridCol w:w="1843"/>
      </w:tblGrid>
      <w:tr w:rsidR="00BA2335" w:rsidRPr="0052584F" w14:paraId="2ABE38D6" w14:textId="77777777" w:rsidTr="009E2146">
        <w:trPr>
          <w:trHeight w:val="433"/>
        </w:trPr>
        <w:tc>
          <w:tcPr>
            <w:tcW w:w="8534" w:type="dxa"/>
            <w:tcBorders>
              <w:bottom w:val="single" w:sz="4" w:space="0" w:color="auto"/>
            </w:tcBorders>
            <w:shd w:val="clear" w:color="auto" w:fill="CCFFFF"/>
            <w:vAlign w:val="center"/>
          </w:tcPr>
          <w:p w14:paraId="78842DCA" w14:textId="58B6179D" w:rsidR="00F92BDF" w:rsidRDefault="00000000">
            <w:r>
              <w:t xml:space="preserve">GCC Risk: </w:t>
            </w:r>
            <w:r w:rsidR="00903BEF">
              <w:t>High</w:t>
            </w:r>
          </w:p>
        </w:tc>
        <w:tc>
          <w:tcPr>
            <w:tcW w:w="1843" w:type="dxa"/>
            <w:tcBorders>
              <w:bottom w:val="single" w:sz="4" w:space="0" w:color="auto"/>
            </w:tcBorders>
            <w:shd w:val="clear" w:color="auto" w:fill="CCFFFF"/>
            <w:vAlign w:val="center"/>
          </w:tcPr>
          <w:p w14:paraId="01DD8830" w14:textId="35B02366" w:rsidR="00F92BDF" w:rsidRDefault="00000000">
            <w:r>
              <w:t xml:space="preserve">Outlook: </w:t>
            </w:r>
            <w:r w:rsidR="00903BEF">
              <w:t>Stable</w:t>
            </w:r>
          </w:p>
        </w:tc>
      </w:tr>
      <w:tr w:rsidR="00BA2335" w:rsidRPr="0052584F" w14:paraId="66E6EEE7" w14:textId="77777777" w:rsidTr="009E2146">
        <w:trPr>
          <w:trHeight w:val="1246"/>
        </w:trPr>
        <w:tc>
          <w:tcPr>
            <w:tcW w:w="10377" w:type="dxa"/>
            <w:gridSpan w:val="2"/>
            <w:shd w:val="clear" w:color="auto" w:fill="auto"/>
            <w:vAlign w:val="center"/>
          </w:tcPr>
          <w:p w14:paraId="3AADF04D" w14:textId="72CD893E" w:rsidR="009E2146" w:rsidRDefault="00000000">
            <w:r>
              <w:t>Group description:</w:t>
            </w:r>
            <w:r>
              <w:br/>
              <w:t>The sole ultimate owner is Mr. Jan Novák (*19</w:t>
            </w:r>
            <w:r w:rsidR="006D1E31">
              <w:t>50</w:t>
            </w:r>
            <w:r>
              <w:t xml:space="preserve">; his son already active in the Co.), who actually controls 100% stake in the company and works as a CEO. He originally founded the company with his father Jan Novák Sr. in 1990. Today also his brother Mr. Vít Novák is in management (vice-chair of the board). In 2005 50% share sold to </w:t>
            </w:r>
            <w:r w:rsidR="006D1E31">
              <w:t>Copper Inc.</w:t>
            </w:r>
            <w:r>
              <w:t xml:space="preserve"> and purchased back in 2014 =&gt; acquisition loan on SPV called Alloy Solutions used and merger with successor FERROTECH done; all FERROTECH shares transferred under Innovate Holdings =&gt; no changes in the ownership structure in last 7 years.</w:t>
            </w:r>
            <w:r>
              <w:br/>
              <w:t xml:space="preserve">Comment to other GCC members including: </w:t>
            </w:r>
            <w:r>
              <w:br/>
              <w:t xml:space="preserve">Since 2010 Mr. </w:t>
            </w:r>
            <w:r w:rsidR="00AC11D2">
              <w:t>Novák</w:t>
            </w:r>
            <w:r>
              <w:t xml:space="preserve"> directly owns a company “Alloy Dynamics Inc.” (futher also called just “Alloy Dynamics Inc.”), which was financially weak and persistently poor performing and support from FERROTECH was required. However in 2022 Alloy Dynamics Inc. sold remaining properties with </w:t>
            </w:r>
            <w:r>
              <w:lastRenderedPageBreak/>
              <w:t xml:space="preserve">profit, repaid all bank debt and reduced I/G liability towards </w:t>
            </w:r>
            <w:r w:rsidR="00194ECA">
              <w:t xml:space="preserve">FERROTECH </w:t>
            </w:r>
            <w:r>
              <w:t>from USD 816 to USD 107.5 that is moreover fully adjusted; no changes in 2023 =&gt; no risk for FERROTECH</w:t>
            </w:r>
            <w:r>
              <w:br/>
              <w:t>PIONEER RENEWABLES established in 7/2018 based on spin-off of FV power plant from FERROTECH</w:t>
            </w:r>
          </w:p>
          <w:p w14:paraId="07976E46" w14:textId="77777777" w:rsidR="009E2146" w:rsidRDefault="009E2146"/>
          <w:tbl>
            <w:tblPr>
              <w:tblW w:w="5000" w:type="pct"/>
              <w:tblLook w:val="04A0" w:firstRow="1" w:lastRow="0" w:firstColumn="1" w:lastColumn="0" w:noHBand="0" w:noVBand="1"/>
            </w:tblPr>
            <w:tblGrid>
              <w:gridCol w:w="1537"/>
              <w:gridCol w:w="784"/>
              <w:gridCol w:w="783"/>
              <w:gridCol w:w="783"/>
              <w:gridCol w:w="783"/>
              <w:gridCol w:w="783"/>
              <w:gridCol w:w="782"/>
              <w:gridCol w:w="784"/>
              <w:gridCol w:w="784"/>
              <w:gridCol w:w="792"/>
              <w:gridCol w:w="776"/>
              <w:gridCol w:w="780"/>
            </w:tblGrid>
            <w:tr w:rsidR="00C57FFA" w:rsidRPr="009E2146" w14:paraId="3097F75C" w14:textId="77777777" w:rsidTr="009E2146">
              <w:trPr>
                <w:trHeight w:val="20"/>
              </w:trPr>
              <w:tc>
                <w:tcPr>
                  <w:tcW w:w="780" w:type="pct"/>
                  <w:tcBorders>
                    <w:top w:val="single" w:sz="4" w:space="0" w:color="auto"/>
                    <w:left w:val="single" w:sz="4" w:space="0" w:color="auto"/>
                    <w:bottom w:val="single" w:sz="4" w:space="0" w:color="auto"/>
                    <w:right w:val="single" w:sz="4" w:space="0" w:color="auto"/>
                  </w:tcBorders>
                  <w:shd w:val="clear" w:color="000000" w:fill="FFFF00"/>
                  <w:vAlign w:val="center"/>
                  <w:hideMark/>
                </w:tcPr>
                <w:p w14:paraId="3E6FADD2" w14:textId="25D95D98" w:rsidR="009E2146" w:rsidRPr="009E2146" w:rsidRDefault="009E2146" w:rsidP="009E2146">
                  <w:pPr>
                    <w:jc w:val="center"/>
                    <w:rPr>
                      <w:b/>
                      <w:bCs/>
                      <w:color w:val="000000"/>
                      <w:sz w:val="14"/>
                      <w:szCs w:val="14"/>
                      <w:lang w:val="en-US"/>
                    </w:rPr>
                  </w:pPr>
                  <w:r w:rsidRPr="009E2146">
                    <w:rPr>
                      <w:b/>
                      <w:bCs/>
                      <w:color w:val="000000"/>
                      <w:sz w:val="14"/>
                      <w:szCs w:val="14"/>
                    </w:rPr>
                    <w:t>2023 (</w:t>
                  </w:r>
                  <w:r w:rsidR="00F7131E">
                    <w:rPr>
                      <w:b/>
                      <w:bCs/>
                      <w:color w:val="000000"/>
                      <w:sz w:val="14"/>
                      <w:szCs w:val="14"/>
                    </w:rPr>
                    <w:t>USD</w:t>
                  </w:r>
                  <w:r w:rsidRPr="009E2146">
                    <w:rPr>
                      <w:b/>
                      <w:bCs/>
                      <w:color w:val="000000"/>
                      <w:sz w:val="14"/>
                      <w:szCs w:val="14"/>
                    </w:rPr>
                    <w:t>)</w:t>
                  </w:r>
                </w:p>
              </w:tc>
              <w:tc>
                <w:tcPr>
                  <w:tcW w:w="119" w:type="pct"/>
                  <w:tcBorders>
                    <w:top w:val="single" w:sz="4" w:space="0" w:color="auto"/>
                    <w:left w:val="nil"/>
                    <w:bottom w:val="single" w:sz="4" w:space="0" w:color="auto"/>
                    <w:right w:val="single" w:sz="4" w:space="0" w:color="auto"/>
                  </w:tcBorders>
                  <w:shd w:val="clear" w:color="000000" w:fill="FFFF00"/>
                  <w:noWrap/>
                  <w:vAlign w:val="center"/>
                  <w:hideMark/>
                </w:tcPr>
                <w:p w14:paraId="5D6C31CC" w14:textId="77777777" w:rsidR="009E2146" w:rsidRPr="009E2146" w:rsidRDefault="009E2146" w:rsidP="009E2146">
                  <w:pPr>
                    <w:jc w:val="center"/>
                    <w:rPr>
                      <w:b/>
                      <w:bCs/>
                      <w:color w:val="000000"/>
                      <w:sz w:val="14"/>
                      <w:szCs w:val="14"/>
                    </w:rPr>
                  </w:pPr>
                  <w:r w:rsidRPr="009E2146">
                    <w:rPr>
                      <w:b/>
                      <w:bCs/>
                      <w:color w:val="000000"/>
                      <w:sz w:val="14"/>
                      <w:szCs w:val="14"/>
                    </w:rPr>
                    <w:t>Revenues</w:t>
                  </w:r>
                </w:p>
              </w:tc>
              <w:tc>
                <w:tcPr>
                  <w:tcW w:w="410" w:type="pct"/>
                  <w:tcBorders>
                    <w:top w:val="single" w:sz="4" w:space="0" w:color="auto"/>
                    <w:left w:val="nil"/>
                    <w:bottom w:val="single" w:sz="4" w:space="0" w:color="auto"/>
                    <w:right w:val="single" w:sz="4" w:space="0" w:color="auto"/>
                  </w:tcBorders>
                  <w:shd w:val="clear" w:color="000000" w:fill="FFFF00"/>
                  <w:noWrap/>
                  <w:vAlign w:val="center"/>
                  <w:hideMark/>
                </w:tcPr>
                <w:p w14:paraId="1ABF3727" w14:textId="77777777" w:rsidR="009E2146" w:rsidRPr="009E2146" w:rsidRDefault="009E2146" w:rsidP="009E2146">
                  <w:pPr>
                    <w:jc w:val="center"/>
                    <w:rPr>
                      <w:b/>
                      <w:bCs/>
                      <w:color w:val="000000"/>
                      <w:sz w:val="14"/>
                      <w:szCs w:val="14"/>
                    </w:rPr>
                  </w:pPr>
                  <w:r w:rsidRPr="009E2146">
                    <w:rPr>
                      <w:b/>
                      <w:bCs/>
                      <w:color w:val="000000"/>
                      <w:sz w:val="14"/>
                      <w:szCs w:val="14"/>
                    </w:rPr>
                    <w:t>EBITDA</w:t>
                  </w:r>
                </w:p>
              </w:tc>
              <w:tc>
                <w:tcPr>
                  <w:tcW w:w="410" w:type="pct"/>
                  <w:tcBorders>
                    <w:top w:val="single" w:sz="4" w:space="0" w:color="auto"/>
                    <w:left w:val="nil"/>
                    <w:bottom w:val="single" w:sz="4" w:space="0" w:color="auto"/>
                    <w:right w:val="single" w:sz="4" w:space="0" w:color="auto"/>
                  </w:tcBorders>
                  <w:shd w:val="clear" w:color="000000" w:fill="FFFF00"/>
                  <w:vAlign w:val="center"/>
                  <w:hideMark/>
                </w:tcPr>
                <w:p w14:paraId="34B3970E" w14:textId="77777777" w:rsidR="009E2146" w:rsidRPr="009E2146" w:rsidRDefault="009E2146" w:rsidP="009E2146">
                  <w:pPr>
                    <w:jc w:val="center"/>
                    <w:rPr>
                      <w:b/>
                      <w:bCs/>
                      <w:color w:val="000000"/>
                      <w:sz w:val="14"/>
                      <w:szCs w:val="14"/>
                    </w:rPr>
                  </w:pPr>
                  <w:r w:rsidRPr="009E2146">
                    <w:rPr>
                      <w:b/>
                      <w:bCs/>
                      <w:color w:val="000000"/>
                      <w:sz w:val="14"/>
                      <w:szCs w:val="14"/>
                    </w:rPr>
                    <w:t>EBITDA margin</w:t>
                  </w:r>
                </w:p>
              </w:tc>
              <w:tc>
                <w:tcPr>
                  <w:tcW w:w="410" w:type="pct"/>
                  <w:tcBorders>
                    <w:top w:val="single" w:sz="4" w:space="0" w:color="auto"/>
                    <w:left w:val="nil"/>
                    <w:bottom w:val="single" w:sz="4" w:space="0" w:color="auto"/>
                    <w:right w:val="single" w:sz="4" w:space="0" w:color="auto"/>
                  </w:tcBorders>
                  <w:shd w:val="clear" w:color="000000" w:fill="FFFF00"/>
                  <w:vAlign w:val="center"/>
                  <w:hideMark/>
                </w:tcPr>
                <w:p w14:paraId="68B6BD4A" w14:textId="77777777" w:rsidR="009E2146" w:rsidRPr="009E2146" w:rsidRDefault="009E2146" w:rsidP="009E2146">
                  <w:pPr>
                    <w:jc w:val="center"/>
                    <w:rPr>
                      <w:b/>
                      <w:bCs/>
                      <w:color w:val="000000"/>
                      <w:sz w:val="14"/>
                      <w:szCs w:val="14"/>
                    </w:rPr>
                  </w:pPr>
                  <w:r w:rsidRPr="009E2146">
                    <w:rPr>
                      <w:b/>
                      <w:bCs/>
                      <w:color w:val="000000"/>
                      <w:sz w:val="14"/>
                      <w:szCs w:val="14"/>
                    </w:rPr>
                    <w:t>net profit</w:t>
                  </w:r>
                </w:p>
              </w:tc>
              <w:tc>
                <w:tcPr>
                  <w:tcW w:w="410" w:type="pct"/>
                  <w:tcBorders>
                    <w:top w:val="single" w:sz="4" w:space="0" w:color="auto"/>
                    <w:left w:val="nil"/>
                    <w:bottom w:val="single" w:sz="4" w:space="0" w:color="auto"/>
                    <w:right w:val="single" w:sz="4" w:space="0" w:color="auto"/>
                  </w:tcBorders>
                  <w:shd w:val="clear" w:color="000000" w:fill="FFFF00"/>
                  <w:noWrap/>
                  <w:vAlign w:val="center"/>
                  <w:hideMark/>
                </w:tcPr>
                <w:p w14:paraId="4588AB7B" w14:textId="77777777" w:rsidR="009E2146" w:rsidRPr="009E2146" w:rsidRDefault="009E2146" w:rsidP="009E2146">
                  <w:pPr>
                    <w:jc w:val="center"/>
                    <w:rPr>
                      <w:b/>
                      <w:bCs/>
                      <w:color w:val="000000"/>
                      <w:sz w:val="14"/>
                      <w:szCs w:val="14"/>
                    </w:rPr>
                  </w:pPr>
                  <w:r w:rsidRPr="009E2146">
                    <w:rPr>
                      <w:b/>
                      <w:bCs/>
                      <w:color w:val="000000"/>
                      <w:sz w:val="14"/>
                      <w:szCs w:val="14"/>
                    </w:rPr>
                    <w:t>BS</w:t>
                  </w:r>
                </w:p>
              </w:tc>
              <w:tc>
                <w:tcPr>
                  <w:tcW w:w="409" w:type="pct"/>
                  <w:tcBorders>
                    <w:top w:val="single" w:sz="4" w:space="0" w:color="auto"/>
                    <w:left w:val="nil"/>
                    <w:bottom w:val="single" w:sz="4" w:space="0" w:color="auto"/>
                    <w:right w:val="single" w:sz="4" w:space="0" w:color="auto"/>
                  </w:tcBorders>
                  <w:shd w:val="clear" w:color="000000" w:fill="FFFF00"/>
                  <w:noWrap/>
                  <w:vAlign w:val="center"/>
                  <w:hideMark/>
                </w:tcPr>
                <w:p w14:paraId="2727613B" w14:textId="77777777" w:rsidR="009E2146" w:rsidRPr="009E2146" w:rsidRDefault="009E2146" w:rsidP="009E2146">
                  <w:pPr>
                    <w:jc w:val="center"/>
                    <w:rPr>
                      <w:b/>
                      <w:bCs/>
                      <w:color w:val="000000"/>
                      <w:sz w:val="14"/>
                      <w:szCs w:val="14"/>
                    </w:rPr>
                  </w:pPr>
                  <w:r w:rsidRPr="009E2146">
                    <w:rPr>
                      <w:b/>
                      <w:bCs/>
                      <w:color w:val="000000"/>
                      <w:sz w:val="14"/>
                      <w:szCs w:val="14"/>
                    </w:rPr>
                    <w:t>FA</w:t>
                  </w:r>
                </w:p>
              </w:tc>
              <w:tc>
                <w:tcPr>
                  <w:tcW w:w="410" w:type="pct"/>
                  <w:tcBorders>
                    <w:top w:val="single" w:sz="4" w:space="0" w:color="auto"/>
                    <w:left w:val="nil"/>
                    <w:bottom w:val="single" w:sz="4" w:space="0" w:color="auto"/>
                    <w:right w:val="single" w:sz="4" w:space="0" w:color="auto"/>
                  </w:tcBorders>
                  <w:shd w:val="clear" w:color="000000" w:fill="FFFF00"/>
                  <w:noWrap/>
                  <w:vAlign w:val="center"/>
                  <w:hideMark/>
                </w:tcPr>
                <w:p w14:paraId="2CC9DC37" w14:textId="77777777" w:rsidR="009E2146" w:rsidRPr="009E2146" w:rsidRDefault="009E2146" w:rsidP="009E2146">
                  <w:pPr>
                    <w:jc w:val="center"/>
                    <w:rPr>
                      <w:b/>
                      <w:bCs/>
                      <w:color w:val="000000"/>
                      <w:sz w:val="14"/>
                      <w:szCs w:val="14"/>
                    </w:rPr>
                  </w:pPr>
                  <w:r w:rsidRPr="009E2146">
                    <w:rPr>
                      <w:b/>
                      <w:bCs/>
                      <w:color w:val="000000"/>
                      <w:sz w:val="14"/>
                      <w:szCs w:val="14"/>
                    </w:rPr>
                    <w:t>cash</w:t>
                  </w:r>
                </w:p>
              </w:tc>
              <w:tc>
                <w:tcPr>
                  <w:tcW w:w="410" w:type="pct"/>
                  <w:tcBorders>
                    <w:top w:val="single" w:sz="4" w:space="0" w:color="auto"/>
                    <w:left w:val="nil"/>
                    <w:bottom w:val="single" w:sz="4" w:space="0" w:color="auto"/>
                    <w:right w:val="single" w:sz="4" w:space="0" w:color="auto"/>
                  </w:tcBorders>
                  <w:shd w:val="clear" w:color="000000" w:fill="FFFF00"/>
                  <w:noWrap/>
                  <w:vAlign w:val="center"/>
                  <w:hideMark/>
                </w:tcPr>
                <w:p w14:paraId="57120445" w14:textId="77777777" w:rsidR="009E2146" w:rsidRPr="009E2146" w:rsidRDefault="009E2146" w:rsidP="009E2146">
                  <w:pPr>
                    <w:jc w:val="center"/>
                    <w:rPr>
                      <w:b/>
                      <w:bCs/>
                      <w:color w:val="000000"/>
                      <w:sz w:val="14"/>
                      <w:szCs w:val="14"/>
                    </w:rPr>
                  </w:pPr>
                  <w:r w:rsidRPr="009E2146">
                    <w:rPr>
                      <w:b/>
                      <w:bCs/>
                      <w:color w:val="000000"/>
                      <w:sz w:val="14"/>
                      <w:szCs w:val="14"/>
                    </w:rPr>
                    <w:t>debt</w:t>
                  </w:r>
                </w:p>
              </w:tc>
              <w:tc>
                <w:tcPr>
                  <w:tcW w:w="410" w:type="pct"/>
                  <w:tcBorders>
                    <w:top w:val="single" w:sz="4" w:space="0" w:color="auto"/>
                    <w:left w:val="nil"/>
                    <w:bottom w:val="single" w:sz="4" w:space="0" w:color="auto"/>
                    <w:right w:val="single" w:sz="4" w:space="0" w:color="auto"/>
                  </w:tcBorders>
                  <w:shd w:val="clear" w:color="000000" w:fill="FFFF00"/>
                  <w:vAlign w:val="center"/>
                  <w:hideMark/>
                </w:tcPr>
                <w:p w14:paraId="693AA02F" w14:textId="77777777" w:rsidR="009E2146" w:rsidRPr="009E2146" w:rsidRDefault="009E2146" w:rsidP="009E2146">
                  <w:pPr>
                    <w:jc w:val="center"/>
                    <w:rPr>
                      <w:b/>
                      <w:bCs/>
                      <w:color w:val="000000"/>
                      <w:sz w:val="14"/>
                      <w:szCs w:val="14"/>
                    </w:rPr>
                  </w:pPr>
                  <w:r w:rsidRPr="009E2146">
                    <w:rPr>
                      <w:b/>
                      <w:bCs/>
                      <w:color w:val="000000"/>
                      <w:sz w:val="14"/>
                      <w:szCs w:val="14"/>
                    </w:rPr>
                    <w:t>Net debt /EBITDA</w:t>
                  </w:r>
                </w:p>
              </w:tc>
              <w:tc>
                <w:tcPr>
                  <w:tcW w:w="410" w:type="pct"/>
                  <w:tcBorders>
                    <w:top w:val="single" w:sz="4" w:space="0" w:color="auto"/>
                    <w:left w:val="nil"/>
                    <w:bottom w:val="single" w:sz="4" w:space="0" w:color="auto"/>
                    <w:right w:val="single" w:sz="4" w:space="0" w:color="auto"/>
                  </w:tcBorders>
                  <w:shd w:val="clear" w:color="000000" w:fill="FFFF00"/>
                  <w:noWrap/>
                  <w:vAlign w:val="center"/>
                  <w:hideMark/>
                </w:tcPr>
                <w:p w14:paraId="0920121B" w14:textId="77777777" w:rsidR="009E2146" w:rsidRPr="009E2146" w:rsidRDefault="009E2146" w:rsidP="009E2146">
                  <w:pPr>
                    <w:jc w:val="center"/>
                    <w:rPr>
                      <w:b/>
                      <w:bCs/>
                      <w:color w:val="000000"/>
                      <w:sz w:val="14"/>
                      <w:szCs w:val="14"/>
                    </w:rPr>
                  </w:pPr>
                  <w:r w:rsidRPr="009E2146">
                    <w:rPr>
                      <w:b/>
                      <w:bCs/>
                      <w:color w:val="000000"/>
                      <w:sz w:val="14"/>
                      <w:szCs w:val="14"/>
                    </w:rPr>
                    <w:t>equity</w:t>
                  </w:r>
                </w:p>
              </w:tc>
              <w:tc>
                <w:tcPr>
                  <w:tcW w:w="408" w:type="pct"/>
                  <w:tcBorders>
                    <w:top w:val="single" w:sz="4" w:space="0" w:color="auto"/>
                    <w:left w:val="nil"/>
                    <w:bottom w:val="single" w:sz="4" w:space="0" w:color="auto"/>
                    <w:right w:val="single" w:sz="4" w:space="0" w:color="auto"/>
                  </w:tcBorders>
                  <w:shd w:val="clear" w:color="000000" w:fill="FFFF00"/>
                  <w:noWrap/>
                  <w:vAlign w:val="center"/>
                  <w:hideMark/>
                </w:tcPr>
                <w:p w14:paraId="2E633FEB" w14:textId="77777777" w:rsidR="009E2146" w:rsidRPr="009E2146" w:rsidRDefault="009E2146" w:rsidP="009E2146">
                  <w:pPr>
                    <w:jc w:val="center"/>
                    <w:rPr>
                      <w:b/>
                      <w:bCs/>
                      <w:color w:val="000000"/>
                      <w:sz w:val="14"/>
                      <w:szCs w:val="14"/>
                    </w:rPr>
                  </w:pPr>
                  <w:r w:rsidRPr="009E2146">
                    <w:rPr>
                      <w:b/>
                      <w:bCs/>
                      <w:color w:val="000000"/>
                      <w:sz w:val="14"/>
                      <w:szCs w:val="14"/>
                    </w:rPr>
                    <w:t>EqR</w:t>
                  </w:r>
                </w:p>
              </w:tc>
            </w:tr>
            <w:tr w:rsidR="00C57FFA" w:rsidRPr="009E2146" w14:paraId="45F42952" w14:textId="77777777" w:rsidTr="009E2146">
              <w:trPr>
                <w:trHeight w:val="20"/>
              </w:trPr>
              <w:tc>
                <w:tcPr>
                  <w:tcW w:w="780" w:type="pct"/>
                  <w:tcBorders>
                    <w:top w:val="nil"/>
                    <w:left w:val="single" w:sz="4" w:space="0" w:color="auto"/>
                    <w:bottom w:val="nil"/>
                    <w:right w:val="nil"/>
                  </w:tcBorders>
                  <w:shd w:val="clear" w:color="000000" w:fill="FFFFFF"/>
                  <w:vAlign w:val="center"/>
                  <w:hideMark/>
                </w:tcPr>
                <w:p w14:paraId="50F947DB"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xml:space="preserve">FERROTECH </w:t>
                  </w:r>
                </w:p>
              </w:tc>
              <w:tc>
                <w:tcPr>
                  <w:tcW w:w="119" w:type="pct"/>
                  <w:tcBorders>
                    <w:top w:val="nil"/>
                    <w:left w:val="nil"/>
                    <w:bottom w:val="nil"/>
                    <w:right w:val="nil"/>
                  </w:tcBorders>
                  <w:shd w:val="clear" w:color="000000" w:fill="FFFFFF"/>
                  <w:vAlign w:val="center"/>
                  <w:hideMark/>
                </w:tcPr>
                <w:p w14:paraId="064688AF"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3 326 241</w:t>
                  </w:r>
                </w:p>
              </w:tc>
              <w:tc>
                <w:tcPr>
                  <w:tcW w:w="410" w:type="pct"/>
                  <w:tcBorders>
                    <w:top w:val="nil"/>
                    <w:left w:val="nil"/>
                    <w:bottom w:val="nil"/>
                    <w:right w:val="nil"/>
                  </w:tcBorders>
                  <w:shd w:val="clear" w:color="000000" w:fill="FFFFFF"/>
                  <w:vAlign w:val="center"/>
                  <w:hideMark/>
                </w:tcPr>
                <w:p w14:paraId="5AF6592B"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162 178</w:t>
                  </w:r>
                </w:p>
              </w:tc>
              <w:tc>
                <w:tcPr>
                  <w:tcW w:w="410" w:type="pct"/>
                  <w:tcBorders>
                    <w:top w:val="nil"/>
                    <w:left w:val="nil"/>
                    <w:bottom w:val="nil"/>
                    <w:right w:val="nil"/>
                  </w:tcBorders>
                  <w:shd w:val="clear" w:color="000000" w:fill="FFFFFF"/>
                  <w:vAlign w:val="center"/>
                  <w:hideMark/>
                </w:tcPr>
                <w:p w14:paraId="37C7BE48"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4,90%</w:t>
                  </w:r>
                </w:p>
              </w:tc>
              <w:tc>
                <w:tcPr>
                  <w:tcW w:w="410" w:type="pct"/>
                  <w:tcBorders>
                    <w:top w:val="nil"/>
                    <w:left w:val="nil"/>
                    <w:bottom w:val="nil"/>
                    <w:right w:val="nil"/>
                  </w:tcBorders>
                  <w:shd w:val="clear" w:color="000000" w:fill="FFFFFF"/>
                  <w:vAlign w:val="center"/>
                  <w:hideMark/>
                </w:tcPr>
                <w:p w14:paraId="04DBAD12"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79 029</w:t>
                  </w:r>
                </w:p>
              </w:tc>
              <w:tc>
                <w:tcPr>
                  <w:tcW w:w="410" w:type="pct"/>
                  <w:tcBorders>
                    <w:top w:val="nil"/>
                    <w:left w:val="nil"/>
                    <w:bottom w:val="nil"/>
                    <w:right w:val="nil"/>
                  </w:tcBorders>
                  <w:shd w:val="clear" w:color="000000" w:fill="FFFFFF"/>
                  <w:vAlign w:val="center"/>
                  <w:hideMark/>
                </w:tcPr>
                <w:p w14:paraId="7A8B4801"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1 933 972</w:t>
                  </w:r>
                </w:p>
              </w:tc>
              <w:tc>
                <w:tcPr>
                  <w:tcW w:w="409" w:type="pct"/>
                  <w:tcBorders>
                    <w:top w:val="nil"/>
                    <w:left w:val="nil"/>
                    <w:bottom w:val="nil"/>
                    <w:right w:val="nil"/>
                  </w:tcBorders>
                  <w:shd w:val="clear" w:color="000000" w:fill="FFFFFF"/>
                  <w:vAlign w:val="center"/>
                  <w:hideMark/>
                </w:tcPr>
                <w:p w14:paraId="4C563E9B"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470 372</w:t>
                  </w:r>
                </w:p>
              </w:tc>
              <w:tc>
                <w:tcPr>
                  <w:tcW w:w="410" w:type="pct"/>
                  <w:tcBorders>
                    <w:top w:val="nil"/>
                    <w:left w:val="nil"/>
                    <w:bottom w:val="nil"/>
                    <w:right w:val="nil"/>
                  </w:tcBorders>
                  <w:shd w:val="clear" w:color="000000" w:fill="FFFFFF"/>
                  <w:vAlign w:val="center"/>
                  <w:hideMark/>
                </w:tcPr>
                <w:p w14:paraId="23AC9E0C"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65 453</w:t>
                  </w:r>
                </w:p>
              </w:tc>
              <w:tc>
                <w:tcPr>
                  <w:tcW w:w="410" w:type="pct"/>
                  <w:tcBorders>
                    <w:top w:val="nil"/>
                    <w:left w:val="nil"/>
                    <w:bottom w:val="nil"/>
                    <w:right w:val="nil"/>
                  </w:tcBorders>
                  <w:shd w:val="clear" w:color="000000" w:fill="FFFFFF"/>
                  <w:vAlign w:val="center"/>
                  <w:hideMark/>
                </w:tcPr>
                <w:p w14:paraId="3037EEC1"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568 082</w:t>
                  </w:r>
                </w:p>
              </w:tc>
              <w:tc>
                <w:tcPr>
                  <w:tcW w:w="410" w:type="pct"/>
                  <w:tcBorders>
                    <w:top w:val="nil"/>
                    <w:left w:val="nil"/>
                    <w:bottom w:val="nil"/>
                    <w:right w:val="nil"/>
                  </w:tcBorders>
                  <w:shd w:val="clear" w:color="000000" w:fill="FFFFFF"/>
                  <w:vAlign w:val="center"/>
                  <w:hideMark/>
                </w:tcPr>
                <w:p w14:paraId="6CCF2506"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3,1</w:t>
                  </w:r>
                </w:p>
              </w:tc>
              <w:tc>
                <w:tcPr>
                  <w:tcW w:w="410" w:type="pct"/>
                  <w:tcBorders>
                    <w:top w:val="nil"/>
                    <w:left w:val="nil"/>
                    <w:bottom w:val="nil"/>
                    <w:right w:val="nil"/>
                  </w:tcBorders>
                  <w:shd w:val="clear" w:color="000000" w:fill="FFFFFF"/>
                  <w:vAlign w:val="center"/>
                  <w:hideMark/>
                </w:tcPr>
                <w:p w14:paraId="61CC38E2"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816 414</w:t>
                  </w:r>
                </w:p>
              </w:tc>
              <w:tc>
                <w:tcPr>
                  <w:tcW w:w="408" w:type="pct"/>
                  <w:tcBorders>
                    <w:top w:val="nil"/>
                    <w:left w:val="nil"/>
                    <w:bottom w:val="nil"/>
                    <w:right w:val="single" w:sz="4" w:space="0" w:color="auto"/>
                  </w:tcBorders>
                  <w:shd w:val="clear" w:color="000000" w:fill="FFFFFF"/>
                  <w:vAlign w:val="center"/>
                  <w:hideMark/>
                </w:tcPr>
                <w:p w14:paraId="72AF30E8"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42%</w:t>
                  </w:r>
                </w:p>
              </w:tc>
            </w:tr>
            <w:tr w:rsidR="00C57FFA" w:rsidRPr="009E2146" w14:paraId="3F66844F" w14:textId="77777777" w:rsidTr="009E2146">
              <w:trPr>
                <w:trHeight w:val="20"/>
              </w:trPr>
              <w:tc>
                <w:tcPr>
                  <w:tcW w:w="780" w:type="pct"/>
                  <w:tcBorders>
                    <w:top w:val="nil"/>
                    <w:left w:val="single" w:sz="4" w:space="0" w:color="auto"/>
                    <w:bottom w:val="nil"/>
                    <w:right w:val="nil"/>
                  </w:tcBorders>
                  <w:shd w:val="clear" w:color="000000" w:fill="FFFFFF"/>
                  <w:vAlign w:val="center"/>
                  <w:hideMark/>
                </w:tcPr>
                <w:p w14:paraId="42E1FE23"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xml:space="preserve">Innovate Holdings </w:t>
                  </w:r>
                </w:p>
              </w:tc>
              <w:tc>
                <w:tcPr>
                  <w:tcW w:w="119" w:type="pct"/>
                  <w:tcBorders>
                    <w:top w:val="nil"/>
                    <w:left w:val="nil"/>
                    <w:bottom w:val="nil"/>
                    <w:right w:val="nil"/>
                  </w:tcBorders>
                  <w:shd w:val="clear" w:color="000000" w:fill="FFFFFF"/>
                  <w:vAlign w:val="center"/>
                  <w:hideMark/>
                </w:tcPr>
                <w:p w14:paraId="72DF6C43"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00494798"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-218</w:t>
                  </w:r>
                </w:p>
              </w:tc>
              <w:tc>
                <w:tcPr>
                  <w:tcW w:w="410" w:type="pct"/>
                  <w:tcBorders>
                    <w:top w:val="nil"/>
                    <w:left w:val="nil"/>
                    <w:bottom w:val="nil"/>
                    <w:right w:val="nil"/>
                  </w:tcBorders>
                  <w:shd w:val="clear" w:color="000000" w:fill="FFFFFF"/>
                  <w:vAlign w:val="center"/>
                  <w:hideMark/>
                </w:tcPr>
                <w:p w14:paraId="164C526F" w14:textId="77777777" w:rsidR="009E2146" w:rsidRPr="009E2146" w:rsidRDefault="009E2146" w:rsidP="00C57FFA">
                  <w:pPr>
                    <w:jc w:val="right"/>
                    <w:rPr>
                      <w:rFonts w:ascii="Calibri" w:hAnsi="Calibri" w:cs="Calibri"/>
                      <w:color w:val="000000"/>
                      <w:sz w:val="14"/>
                      <w:szCs w:val="14"/>
                    </w:rPr>
                  </w:pPr>
                  <w:r w:rsidRPr="009E2146">
                    <w:rPr>
                      <w:rFonts w:ascii="Calibri" w:hAnsi="Calibri" w:cs="Calibri"/>
                      <w:color w:val="000000"/>
                      <w:sz w:val="14"/>
                      <w:szCs w:val="14"/>
                    </w:rPr>
                    <w:t>n.a.</w:t>
                  </w:r>
                </w:p>
              </w:tc>
              <w:tc>
                <w:tcPr>
                  <w:tcW w:w="410" w:type="pct"/>
                  <w:tcBorders>
                    <w:top w:val="nil"/>
                    <w:left w:val="nil"/>
                    <w:bottom w:val="nil"/>
                    <w:right w:val="nil"/>
                  </w:tcBorders>
                  <w:shd w:val="clear" w:color="000000" w:fill="FFFFFF"/>
                  <w:vAlign w:val="center"/>
                  <w:hideMark/>
                </w:tcPr>
                <w:p w14:paraId="0903395B"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67 049</w:t>
                  </w:r>
                </w:p>
              </w:tc>
              <w:tc>
                <w:tcPr>
                  <w:tcW w:w="410" w:type="pct"/>
                  <w:tcBorders>
                    <w:top w:val="nil"/>
                    <w:left w:val="nil"/>
                    <w:bottom w:val="nil"/>
                    <w:right w:val="nil"/>
                  </w:tcBorders>
                  <w:shd w:val="clear" w:color="000000" w:fill="FFFFFF"/>
                  <w:vAlign w:val="center"/>
                  <w:hideMark/>
                </w:tcPr>
                <w:p w14:paraId="5BBC0F69"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954 935</w:t>
                  </w:r>
                </w:p>
              </w:tc>
              <w:tc>
                <w:tcPr>
                  <w:tcW w:w="409" w:type="pct"/>
                  <w:tcBorders>
                    <w:top w:val="nil"/>
                    <w:left w:val="nil"/>
                    <w:bottom w:val="nil"/>
                    <w:right w:val="nil"/>
                  </w:tcBorders>
                  <w:shd w:val="clear" w:color="000000" w:fill="FFFFFF"/>
                  <w:vAlign w:val="center"/>
                  <w:hideMark/>
                </w:tcPr>
                <w:p w14:paraId="58A819BF"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-875 667</w:t>
                  </w:r>
                </w:p>
              </w:tc>
              <w:tc>
                <w:tcPr>
                  <w:tcW w:w="410" w:type="pct"/>
                  <w:tcBorders>
                    <w:top w:val="nil"/>
                    <w:left w:val="nil"/>
                    <w:bottom w:val="nil"/>
                    <w:right w:val="nil"/>
                  </w:tcBorders>
                  <w:shd w:val="clear" w:color="000000" w:fill="FFFFFF"/>
                  <w:vAlign w:val="center"/>
                  <w:hideMark/>
                </w:tcPr>
                <w:p w14:paraId="43F0A84D"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15 107</w:t>
                  </w:r>
                </w:p>
              </w:tc>
              <w:tc>
                <w:tcPr>
                  <w:tcW w:w="410" w:type="pct"/>
                  <w:tcBorders>
                    <w:top w:val="nil"/>
                    <w:left w:val="nil"/>
                    <w:bottom w:val="nil"/>
                    <w:right w:val="nil"/>
                  </w:tcBorders>
                  <w:shd w:val="clear" w:color="000000" w:fill="FFFFFF"/>
                  <w:vAlign w:val="center"/>
                  <w:hideMark/>
                </w:tcPr>
                <w:p w14:paraId="02756BBE"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6DB2FC5C"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0688594D"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929 923</w:t>
                  </w:r>
                </w:p>
              </w:tc>
              <w:tc>
                <w:tcPr>
                  <w:tcW w:w="408" w:type="pct"/>
                  <w:tcBorders>
                    <w:top w:val="nil"/>
                    <w:left w:val="nil"/>
                    <w:bottom w:val="nil"/>
                    <w:right w:val="single" w:sz="4" w:space="0" w:color="auto"/>
                  </w:tcBorders>
                  <w:shd w:val="clear" w:color="000000" w:fill="FFFFFF"/>
                  <w:vAlign w:val="center"/>
                  <w:hideMark/>
                </w:tcPr>
                <w:p w14:paraId="37D69D8A"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97%</w:t>
                  </w:r>
                </w:p>
              </w:tc>
            </w:tr>
            <w:tr w:rsidR="00C57FFA" w:rsidRPr="009E2146" w14:paraId="38B0C2B1" w14:textId="77777777" w:rsidTr="009E2146">
              <w:trPr>
                <w:trHeight w:val="20"/>
              </w:trPr>
              <w:tc>
                <w:tcPr>
                  <w:tcW w:w="780" w:type="pct"/>
                  <w:tcBorders>
                    <w:top w:val="nil"/>
                    <w:left w:val="single" w:sz="4" w:space="0" w:color="auto"/>
                    <w:bottom w:val="nil"/>
                    <w:right w:val="nil"/>
                  </w:tcBorders>
                  <w:shd w:val="clear" w:color="000000" w:fill="FFFFFF"/>
                  <w:vAlign w:val="center"/>
                  <w:hideMark/>
                </w:tcPr>
                <w:p w14:paraId="5AEEA7FC"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Alloy Dynamics Inc.</w:t>
                  </w:r>
                </w:p>
              </w:tc>
              <w:tc>
                <w:tcPr>
                  <w:tcW w:w="119" w:type="pct"/>
                  <w:tcBorders>
                    <w:top w:val="nil"/>
                    <w:left w:val="nil"/>
                    <w:bottom w:val="nil"/>
                    <w:right w:val="nil"/>
                  </w:tcBorders>
                  <w:shd w:val="clear" w:color="000000" w:fill="FFFFFF"/>
                  <w:vAlign w:val="center"/>
                  <w:hideMark/>
                </w:tcPr>
                <w:p w14:paraId="10AF4DDC"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17 842</w:t>
                  </w:r>
                </w:p>
              </w:tc>
              <w:tc>
                <w:tcPr>
                  <w:tcW w:w="410" w:type="pct"/>
                  <w:tcBorders>
                    <w:top w:val="nil"/>
                    <w:left w:val="nil"/>
                    <w:bottom w:val="nil"/>
                    <w:right w:val="nil"/>
                  </w:tcBorders>
                  <w:shd w:val="clear" w:color="000000" w:fill="FFFFFF"/>
                  <w:vAlign w:val="center"/>
                  <w:hideMark/>
                </w:tcPr>
                <w:p w14:paraId="304AA632"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3 600</w:t>
                  </w:r>
                </w:p>
              </w:tc>
              <w:tc>
                <w:tcPr>
                  <w:tcW w:w="410" w:type="pct"/>
                  <w:tcBorders>
                    <w:top w:val="nil"/>
                    <w:left w:val="nil"/>
                    <w:bottom w:val="nil"/>
                    <w:right w:val="nil"/>
                  </w:tcBorders>
                  <w:shd w:val="clear" w:color="000000" w:fill="FFFFFF"/>
                  <w:vAlign w:val="center"/>
                  <w:hideMark/>
                </w:tcPr>
                <w:p w14:paraId="3AD6ABA0"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20,20%</w:t>
                  </w:r>
                </w:p>
              </w:tc>
              <w:tc>
                <w:tcPr>
                  <w:tcW w:w="410" w:type="pct"/>
                  <w:tcBorders>
                    <w:top w:val="nil"/>
                    <w:left w:val="nil"/>
                    <w:bottom w:val="nil"/>
                    <w:right w:val="nil"/>
                  </w:tcBorders>
                  <w:shd w:val="clear" w:color="000000" w:fill="FFFFFF"/>
                  <w:vAlign w:val="center"/>
                  <w:hideMark/>
                </w:tcPr>
                <w:p w14:paraId="5882DC56"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4 145</w:t>
                  </w:r>
                </w:p>
              </w:tc>
              <w:tc>
                <w:tcPr>
                  <w:tcW w:w="410" w:type="pct"/>
                  <w:tcBorders>
                    <w:top w:val="nil"/>
                    <w:left w:val="nil"/>
                    <w:bottom w:val="nil"/>
                    <w:right w:val="nil"/>
                  </w:tcBorders>
                  <w:shd w:val="clear" w:color="000000" w:fill="FFFFFF"/>
                  <w:vAlign w:val="center"/>
                  <w:hideMark/>
                </w:tcPr>
                <w:p w14:paraId="2F4BA676"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11 388</w:t>
                  </w:r>
                </w:p>
              </w:tc>
              <w:tc>
                <w:tcPr>
                  <w:tcW w:w="409" w:type="pct"/>
                  <w:tcBorders>
                    <w:top w:val="nil"/>
                    <w:left w:val="nil"/>
                    <w:bottom w:val="nil"/>
                    <w:right w:val="nil"/>
                  </w:tcBorders>
                  <w:shd w:val="clear" w:color="000000" w:fill="FFFFFF"/>
                  <w:vAlign w:val="center"/>
                  <w:hideMark/>
                </w:tcPr>
                <w:p w14:paraId="043DC0D5"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501B5530"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10 836</w:t>
                  </w:r>
                </w:p>
              </w:tc>
              <w:tc>
                <w:tcPr>
                  <w:tcW w:w="410" w:type="pct"/>
                  <w:tcBorders>
                    <w:top w:val="nil"/>
                    <w:left w:val="nil"/>
                    <w:bottom w:val="nil"/>
                    <w:right w:val="nil"/>
                  </w:tcBorders>
                  <w:shd w:val="clear" w:color="000000" w:fill="FFFFFF"/>
                  <w:vAlign w:val="center"/>
                  <w:hideMark/>
                </w:tcPr>
                <w:p w14:paraId="439FF9EA"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6B4359ED"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11DDC3B9"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-13 592</w:t>
                  </w:r>
                </w:p>
              </w:tc>
              <w:tc>
                <w:tcPr>
                  <w:tcW w:w="408" w:type="pct"/>
                  <w:tcBorders>
                    <w:top w:val="nil"/>
                    <w:left w:val="nil"/>
                    <w:bottom w:val="nil"/>
                    <w:right w:val="single" w:sz="4" w:space="0" w:color="auto"/>
                  </w:tcBorders>
                  <w:shd w:val="clear" w:color="000000" w:fill="FFFFFF"/>
                  <w:vAlign w:val="center"/>
                  <w:hideMark/>
                </w:tcPr>
                <w:p w14:paraId="03AA55F8"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-119%</w:t>
                  </w:r>
                </w:p>
              </w:tc>
            </w:tr>
            <w:tr w:rsidR="00C57FFA" w:rsidRPr="009E2146" w14:paraId="224870F8" w14:textId="77777777" w:rsidTr="009E2146">
              <w:trPr>
                <w:trHeight w:val="20"/>
              </w:trPr>
              <w:tc>
                <w:tcPr>
                  <w:tcW w:w="780" w:type="pct"/>
                  <w:tcBorders>
                    <w:top w:val="nil"/>
                    <w:left w:val="single" w:sz="4" w:space="0" w:color="auto"/>
                    <w:bottom w:val="nil"/>
                    <w:right w:val="nil"/>
                  </w:tcBorders>
                  <w:shd w:val="clear" w:color="000000" w:fill="FFFFFF"/>
                  <w:vAlign w:val="center"/>
                  <w:hideMark/>
                </w:tcPr>
                <w:p w14:paraId="7029D198"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xml:space="preserve">PIONEER RENEWABLES </w:t>
                  </w:r>
                </w:p>
              </w:tc>
              <w:tc>
                <w:tcPr>
                  <w:tcW w:w="119" w:type="pct"/>
                  <w:tcBorders>
                    <w:top w:val="nil"/>
                    <w:left w:val="nil"/>
                    <w:bottom w:val="nil"/>
                    <w:right w:val="nil"/>
                  </w:tcBorders>
                  <w:shd w:val="clear" w:color="000000" w:fill="FFFFFF"/>
                  <w:vAlign w:val="center"/>
                  <w:hideMark/>
                </w:tcPr>
                <w:p w14:paraId="0F5AB77F"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15 058</w:t>
                  </w:r>
                </w:p>
              </w:tc>
              <w:tc>
                <w:tcPr>
                  <w:tcW w:w="410" w:type="pct"/>
                  <w:tcBorders>
                    <w:top w:val="nil"/>
                    <w:left w:val="nil"/>
                    <w:bottom w:val="nil"/>
                    <w:right w:val="nil"/>
                  </w:tcBorders>
                  <w:shd w:val="clear" w:color="000000" w:fill="FFFFFF"/>
                  <w:vAlign w:val="center"/>
                  <w:hideMark/>
                </w:tcPr>
                <w:p w14:paraId="263E3F9B"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10 235</w:t>
                  </w:r>
                </w:p>
              </w:tc>
              <w:tc>
                <w:tcPr>
                  <w:tcW w:w="410" w:type="pct"/>
                  <w:tcBorders>
                    <w:top w:val="nil"/>
                    <w:left w:val="nil"/>
                    <w:bottom w:val="nil"/>
                    <w:right w:val="nil"/>
                  </w:tcBorders>
                  <w:shd w:val="clear" w:color="000000" w:fill="FFFFFF"/>
                  <w:vAlign w:val="center"/>
                  <w:hideMark/>
                </w:tcPr>
                <w:p w14:paraId="3D1AE730"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68,00%</w:t>
                  </w:r>
                </w:p>
              </w:tc>
              <w:tc>
                <w:tcPr>
                  <w:tcW w:w="410" w:type="pct"/>
                  <w:tcBorders>
                    <w:top w:val="nil"/>
                    <w:left w:val="nil"/>
                    <w:bottom w:val="nil"/>
                    <w:right w:val="nil"/>
                  </w:tcBorders>
                  <w:shd w:val="clear" w:color="000000" w:fill="FFFFFF"/>
                  <w:vAlign w:val="center"/>
                  <w:hideMark/>
                </w:tcPr>
                <w:p w14:paraId="4C23FA06"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7 003</w:t>
                  </w:r>
                </w:p>
              </w:tc>
              <w:tc>
                <w:tcPr>
                  <w:tcW w:w="410" w:type="pct"/>
                  <w:tcBorders>
                    <w:top w:val="nil"/>
                    <w:left w:val="nil"/>
                    <w:bottom w:val="nil"/>
                    <w:right w:val="nil"/>
                  </w:tcBorders>
                  <w:shd w:val="clear" w:color="000000" w:fill="FFFFFF"/>
                  <w:vAlign w:val="center"/>
                  <w:hideMark/>
                </w:tcPr>
                <w:p w14:paraId="1B3B8D00"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66 017</w:t>
                  </w:r>
                </w:p>
              </w:tc>
              <w:tc>
                <w:tcPr>
                  <w:tcW w:w="409" w:type="pct"/>
                  <w:tcBorders>
                    <w:top w:val="nil"/>
                    <w:left w:val="nil"/>
                    <w:bottom w:val="nil"/>
                    <w:right w:val="nil"/>
                  </w:tcBorders>
                  <w:shd w:val="clear" w:color="000000" w:fill="FFFFFF"/>
                  <w:vAlign w:val="center"/>
                  <w:hideMark/>
                </w:tcPr>
                <w:p w14:paraId="569D0427"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25 951</w:t>
                  </w:r>
                </w:p>
              </w:tc>
              <w:tc>
                <w:tcPr>
                  <w:tcW w:w="410" w:type="pct"/>
                  <w:tcBorders>
                    <w:top w:val="nil"/>
                    <w:left w:val="nil"/>
                    <w:bottom w:val="nil"/>
                    <w:right w:val="nil"/>
                  </w:tcBorders>
                  <w:shd w:val="clear" w:color="000000" w:fill="FFFFFF"/>
                  <w:vAlign w:val="center"/>
                  <w:hideMark/>
                </w:tcPr>
                <w:p w14:paraId="60B52D20"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35 905</w:t>
                  </w:r>
                </w:p>
              </w:tc>
              <w:tc>
                <w:tcPr>
                  <w:tcW w:w="410" w:type="pct"/>
                  <w:tcBorders>
                    <w:top w:val="nil"/>
                    <w:left w:val="nil"/>
                    <w:bottom w:val="nil"/>
                    <w:right w:val="nil"/>
                  </w:tcBorders>
                  <w:shd w:val="clear" w:color="000000" w:fill="FFFFFF"/>
                  <w:vAlign w:val="center"/>
                  <w:hideMark/>
                </w:tcPr>
                <w:p w14:paraId="2191001D"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52BE2A0E"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0</w:t>
                  </w:r>
                </w:p>
              </w:tc>
              <w:tc>
                <w:tcPr>
                  <w:tcW w:w="410" w:type="pct"/>
                  <w:tcBorders>
                    <w:top w:val="nil"/>
                    <w:left w:val="nil"/>
                    <w:bottom w:val="nil"/>
                    <w:right w:val="nil"/>
                  </w:tcBorders>
                  <w:shd w:val="clear" w:color="000000" w:fill="FFFFFF"/>
                  <w:vAlign w:val="center"/>
                  <w:hideMark/>
                </w:tcPr>
                <w:p w14:paraId="64604CE6"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59 253</w:t>
                  </w:r>
                </w:p>
              </w:tc>
              <w:tc>
                <w:tcPr>
                  <w:tcW w:w="408" w:type="pct"/>
                  <w:tcBorders>
                    <w:top w:val="nil"/>
                    <w:left w:val="nil"/>
                    <w:bottom w:val="nil"/>
                    <w:right w:val="single" w:sz="4" w:space="0" w:color="auto"/>
                  </w:tcBorders>
                  <w:shd w:val="clear" w:color="000000" w:fill="FFFFFF"/>
                  <w:vAlign w:val="center"/>
                  <w:hideMark/>
                </w:tcPr>
                <w:p w14:paraId="5D731062"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90%</w:t>
                  </w:r>
                </w:p>
              </w:tc>
            </w:tr>
            <w:tr w:rsidR="00C57FFA" w:rsidRPr="009E2146" w14:paraId="7E9BF024" w14:textId="77777777" w:rsidTr="009E2146">
              <w:trPr>
                <w:trHeight w:val="20"/>
              </w:trPr>
              <w:tc>
                <w:tcPr>
                  <w:tcW w:w="78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022AD1D" w14:textId="77777777" w:rsidR="009E2146" w:rsidRPr="009E2146" w:rsidRDefault="009E2146" w:rsidP="009E2146">
                  <w:pPr>
                    <w:rPr>
                      <w:rFonts w:ascii="Calibri" w:hAnsi="Calibri" w:cs="Calibri"/>
                      <w:b/>
                      <w:bCs/>
                      <w:color w:val="000000"/>
                      <w:sz w:val="14"/>
                      <w:szCs w:val="14"/>
                    </w:rPr>
                  </w:pPr>
                  <w:r w:rsidRPr="009E2146">
                    <w:rPr>
                      <w:rFonts w:ascii="Calibri" w:hAnsi="Calibri" w:cs="Calibri"/>
                      <w:b/>
                      <w:bCs/>
                      <w:color w:val="000000"/>
                      <w:sz w:val="14"/>
                      <w:szCs w:val="14"/>
                    </w:rPr>
                    <w:t>SUBTOTAL</w:t>
                  </w:r>
                </w:p>
              </w:tc>
              <w:tc>
                <w:tcPr>
                  <w:tcW w:w="119" w:type="pct"/>
                  <w:tcBorders>
                    <w:top w:val="single" w:sz="4" w:space="0" w:color="auto"/>
                    <w:left w:val="nil"/>
                    <w:bottom w:val="single" w:sz="4" w:space="0" w:color="auto"/>
                    <w:right w:val="single" w:sz="4" w:space="0" w:color="auto"/>
                  </w:tcBorders>
                  <w:shd w:val="clear" w:color="000000" w:fill="FFFFFF"/>
                  <w:vAlign w:val="center"/>
                  <w:hideMark/>
                </w:tcPr>
                <w:p w14:paraId="5D581543"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3 359 141</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1734A27B"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175 795</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5949F4D1"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5,20%</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0541CF3F"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157 226</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48B844C8"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2 966 312</w:t>
                  </w:r>
                </w:p>
              </w:tc>
              <w:tc>
                <w:tcPr>
                  <w:tcW w:w="409" w:type="pct"/>
                  <w:tcBorders>
                    <w:top w:val="single" w:sz="4" w:space="0" w:color="auto"/>
                    <w:left w:val="nil"/>
                    <w:bottom w:val="single" w:sz="4" w:space="0" w:color="auto"/>
                    <w:right w:val="single" w:sz="4" w:space="0" w:color="auto"/>
                  </w:tcBorders>
                  <w:shd w:val="clear" w:color="000000" w:fill="FFFFFF"/>
                  <w:vAlign w:val="center"/>
                  <w:hideMark/>
                </w:tcPr>
                <w:p w14:paraId="60337C87"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-379 344</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323D3903"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127 301</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71C0E621"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568 082</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1049691E"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2,5</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6B525161"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1 791 998</w:t>
                  </w:r>
                </w:p>
              </w:tc>
              <w:tc>
                <w:tcPr>
                  <w:tcW w:w="408" w:type="pct"/>
                  <w:tcBorders>
                    <w:top w:val="single" w:sz="4" w:space="0" w:color="auto"/>
                    <w:left w:val="nil"/>
                    <w:bottom w:val="single" w:sz="4" w:space="0" w:color="auto"/>
                    <w:right w:val="single" w:sz="4" w:space="0" w:color="auto"/>
                  </w:tcBorders>
                  <w:shd w:val="clear" w:color="000000" w:fill="FFFFFF"/>
                  <w:vAlign w:val="center"/>
                  <w:hideMark/>
                </w:tcPr>
                <w:p w14:paraId="5008D9E4"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60%</w:t>
                  </w:r>
                </w:p>
              </w:tc>
            </w:tr>
            <w:tr w:rsidR="00C57FFA" w:rsidRPr="009E2146" w14:paraId="38C1B3E9" w14:textId="77777777" w:rsidTr="009E2146">
              <w:trPr>
                <w:trHeight w:val="20"/>
              </w:trPr>
              <w:tc>
                <w:tcPr>
                  <w:tcW w:w="780" w:type="pct"/>
                  <w:tcBorders>
                    <w:top w:val="nil"/>
                    <w:left w:val="single" w:sz="4" w:space="0" w:color="auto"/>
                    <w:bottom w:val="nil"/>
                    <w:right w:val="nil"/>
                  </w:tcBorders>
                  <w:shd w:val="clear" w:color="000000" w:fill="FFFFFF"/>
                  <w:vAlign w:val="center"/>
                  <w:hideMark/>
                </w:tcPr>
                <w:p w14:paraId="3F589FFF"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adjustment</w:t>
                  </w:r>
                </w:p>
              </w:tc>
              <w:tc>
                <w:tcPr>
                  <w:tcW w:w="119" w:type="pct"/>
                  <w:tcBorders>
                    <w:top w:val="nil"/>
                    <w:left w:val="nil"/>
                    <w:bottom w:val="nil"/>
                    <w:right w:val="nil"/>
                  </w:tcBorders>
                  <w:shd w:val="clear" w:color="000000" w:fill="FFFFFF"/>
                  <w:vAlign w:val="center"/>
                  <w:hideMark/>
                </w:tcPr>
                <w:p w14:paraId="45FECA7C"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c>
                <w:tcPr>
                  <w:tcW w:w="410" w:type="pct"/>
                  <w:tcBorders>
                    <w:top w:val="nil"/>
                    <w:left w:val="nil"/>
                    <w:bottom w:val="nil"/>
                    <w:right w:val="nil"/>
                  </w:tcBorders>
                  <w:shd w:val="clear" w:color="000000" w:fill="FFFFFF"/>
                  <w:vAlign w:val="center"/>
                  <w:hideMark/>
                </w:tcPr>
                <w:p w14:paraId="5AAAD083"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c>
                <w:tcPr>
                  <w:tcW w:w="410" w:type="pct"/>
                  <w:tcBorders>
                    <w:top w:val="nil"/>
                    <w:left w:val="nil"/>
                    <w:bottom w:val="nil"/>
                    <w:right w:val="nil"/>
                  </w:tcBorders>
                  <w:shd w:val="clear" w:color="000000" w:fill="FFFFFF"/>
                  <w:vAlign w:val="center"/>
                  <w:hideMark/>
                </w:tcPr>
                <w:p w14:paraId="660E06C8"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c>
                <w:tcPr>
                  <w:tcW w:w="410" w:type="pct"/>
                  <w:tcBorders>
                    <w:top w:val="nil"/>
                    <w:left w:val="nil"/>
                    <w:bottom w:val="nil"/>
                    <w:right w:val="nil"/>
                  </w:tcBorders>
                  <w:shd w:val="clear" w:color="000000" w:fill="FFFFFF"/>
                  <w:vAlign w:val="center"/>
                  <w:hideMark/>
                </w:tcPr>
                <w:p w14:paraId="432714A7"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c>
                <w:tcPr>
                  <w:tcW w:w="410" w:type="pct"/>
                  <w:tcBorders>
                    <w:top w:val="nil"/>
                    <w:left w:val="nil"/>
                    <w:bottom w:val="nil"/>
                    <w:right w:val="nil"/>
                  </w:tcBorders>
                  <w:shd w:val="clear" w:color="000000" w:fill="FFFFFF"/>
                  <w:vAlign w:val="center"/>
                  <w:hideMark/>
                </w:tcPr>
                <w:p w14:paraId="4D501705"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-900 167</w:t>
                  </w:r>
                </w:p>
              </w:tc>
              <w:tc>
                <w:tcPr>
                  <w:tcW w:w="409" w:type="pct"/>
                  <w:tcBorders>
                    <w:top w:val="nil"/>
                    <w:left w:val="nil"/>
                    <w:bottom w:val="nil"/>
                    <w:right w:val="nil"/>
                  </w:tcBorders>
                  <w:shd w:val="clear" w:color="000000" w:fill="FFFFFF"/>
                  <w:vAlign w:val="center"/>
                  <w:hideMark/>
                </w:tcPr>
                <w:p w14:paraId="148FF82E"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-875 667</w:t>
                  </w:r>
                </w:p>
              </w:tc>
              <w:tc>
                <w:tcPr>
                  <w:tcW w:w="410" w:type="pct"/>
                  <w:tcBorders>
                    <w:top w:val="nil"/>
                    <w:left w:val="nil"/>
                    <w:bottom w:val="nil"/>
                    <w:right w:val="nil"/>
                  </w:tcBorders>
                  <w:shd w:val="clear" w:color="000000" w:fill="FFFFFF"/>
                  <w:vAlign w:val="center"/>
                  <w:hideMark/>
                </w:tcPr>
                <w:p w14:paraId="7230BC9F"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c>
                <w:tcPr>
                  <w:tcW w:w="410" w:type="pct"/>
                  <w:tcBorders>
                    <w:top w:val="nil"/>
                    <w:left w:val="nil"/>
                    <w:bottom w:val="nil"/>
                    <w:right w:val="nil"/>
                  </w:tcBorders>
                  <w:shd w:val="clear" w:color="000000" w:fill="FFFFFF"/>
                  <w:vAlign w:val="center"/>
                  <w:hideMark/>
                </w:tcPr>
                <w:p w14:paraId="52C11DA4"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c>
                <w:tcPr>
                  <w:tcW w:w="410" w:type="pct"/>
                  <w:tcBorders>
                    <w:top w:val="nil"/>
                    <w:left w:val="nil"/>
                    <w:bottom w:val="nil"/>
                    <w:right w:val="nil"/>
                  </w:tcBorders>
                  <w:shd w:val="clear" w:color="000000" w:fill="FFFFFF"/>
                  <w:vAlign w:val="center"/>
                  <w:hideMark/>
                </w:tcPr>
                <w:p w14:paraId="559AFC69"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c>
                <w:tcPr>
                  <w:tcW w:w="410" w:type="pct"/>
                  <w:tcBorders>
                    <w:top w:val="nil"/>
                    <w:left w:val="nil"/>
                    <w:bottom w:val="nil"/>
                    <w:right w:val="nil"/>
                  </w:tcBorders>
                  <w:shd w:val="clear" w:color="000000" w:fill="FFFFFF"/>
                  <w:vAlign w:val="center"/>
                  <w:hideMark/>
                </w:tcPr>
                <w:p w14:paraId="35D22E33" w14:textId="77777777" w:rsidR="009E2146" w:rsidRPr="009E2146" w:rsidRDefault="009E2146" w:rsidP="009E2146">
                  <w:pPr>
                    <w:jc w:val="right"/>
                    <w:rPr>
                      <w:rFonts w:ascii="Calibri" w:hAnsi="Calibri" w:cs="Calibri"/>
                      <w:color w:val="000000"/>
                      <w:sz w:val="14"/>
                      <w:szCs w:val="14"/>
                    </w:rPr>
                  </w:pPr>
                  <w:r w:rsidRPr="009E2146">
                    <w:rPr>
                      <w:rFonts w:ascii="Calibri" w:hAnsi="Calibri" w:cs="Calibri"/>
                      <w:color w:val="000000"/>
                      <w:sz w:val="14"/>
                      <w:szCs w:val="14"/>
                    </w:rPr>
                    <w:t>-875 667</w:t>
                  </w:r>
                </w:p>
              </w:tc>
              <w:tc>
                <w:tcPr>
                  <w:tcW w:w="408" w:type="pct"/>
                  <w:tcBorders>
                    <w:top w:val="nil"/>
                    <w:left w:val="nil"/>
                    <w:bottom w:val="nil"/>
                    <w:right w:val="single" w:sz="4" w:space="0" w:color="auto"/>
                  </w:tcBorders>
                  <w:shd w:val="clear" w:color="000000" w:fill="FFFFFF"/>
                  <w:vAlign w:val="center"/>
                  <w:hideMark/>
                </w:tcPr>
                <w:p w14:paraId="5B431D23" w14:textId="77777777" w:rsidR="009E2146" w:rsidRPr="009E2146" w:rsidRDefault="009E2146" w:rsidP="009E2146">
                  <w:pPr>
                    <w:rPr>
                      <w:rFonts w:ascii="Calibri" w:hAnsi="Calibri" w:cs="Calibri"/>
                      <w:color w:val="000000"/>
                      <w:sz w:val="14"/>
                      <w:szCs w:val="14"/>
                    </w:rPr>
                  </w:pPr>
                  <w:r w:rsidRPr="009E2146">
                    <w:rPr>
                      <w:rFonts w:ascii="Calibri" w:hAnsi="Calibri" w:cs="Calibri"/>
                      <w:color w:val="000000"/>
                      <w:sz w:val="14"/>
                      <w:szCs w:val="14"/>
                    </w:rPr>
                    <w:t> </w:t>
                  </w:r>
                </w:p>
              </w:tc>
            </w:tr>
            <w:tr w:rsidR="00C57FFA" w:rsidRPr="009E2146" w14:paraId="69F001A0" w14:textId="77777777" w:rsidTr="009E2146">
              <w:trPr>
                <w:trHeight w:val="20"/>
              </w:trPr>
              <w:tc>
                <w:tcPr>
                  <w:tcW w:w="78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1FD692" w14:textId="77777777" w:rsidR="009E2146" w:rsidRPr="009E2146" w:rsidRDefault="009E2146" w:rsidP="009E2146">
                  <w:pPr>
                    <w:rPr>
                      <w:rFonts w:ascii="Calibri" w:hAnsi="Calibri" w:cs="Calibri"/>
                      <w:b/>
                      <w:bCs/>
                      <w:color w:val="000000"/>
                      <w:sz w:val="14"/>
                      <w:szCs w:val="14"/>
                    </w:rPr>
                  </w:pPr>
                  <w:r w:rsidRPr="009E2146">
                    <w:rPr>
                      <w:rFonts w:ascii="Calibri" w:hAnsi="Calibri" w:cs="Calibri"/>
                      <w:b/>
                      <w:bCs/>
                      <w:color w:val="000000"/>
                      <w:sz w:val="14"/>
                      <w:szCs w:val="14"/>
                    </w:rPr>
                    <w:t>TOTAL</w:t>
                  </w:r>
                </w:p>
              </w:tc>
              <w:tc>
                <w:tcPr>
                  <w:tcW w:w="119" w:type="pct"/>
                  <w:tcBorders>
                    <w:top w:val="single" w:sz="4" w:space="0" w:color="auto"/>
                    <w:left w:val="nil"/>
                    <w:bottom w:val="single" w:sz="4" w:space="0" w:color="auto"/>
                    <w:right w:val="single" w:sz="4" w:space="0" w:color="auto"/>
                  </w:tcBorders>
                  <w:shd w:val="clear" w:color="000000" w:fill="FFFFFF"/>
                  <w:vAlign w:val="center"/>
                  <w:hideMark/>
                </w:tcPr>
                <w:p w14:paraId="32779294"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3 359 141</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303F1534"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175 795</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7F1D32C5"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5,20%</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1E31A954"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157 226</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7239B56F"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2 066 145</w:t>
                  </w:r>
                </w:p>
              </w:tc>
              <w:tc>
                <w:tcPr>
                  <w:tcW w:w="409" w:type="pct"/>
                  <w:tcBorders>
                    <w:top w:val="single" w:sz="4" w:space="0" w:color="auto"/>
                    <w:left w:val="nil"/>
                    <w:bottom w:val="single" w:sz="4" w:space="0" w:color="auto"/>
                    <w:right w:val="single" w:sz="4" w:space="0" w:color="auto"/>
                  </w:tcBorders>
                  <w:shd w:val="clear" w:color="000000" w:fill="FFFFFF"/>
                  <w:vAlign w:val="center"/>
                  <w:hideMark/>
                </w:tcPr>
                <w:p w14:paraId="2AF24CD3"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-1 255 011</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2C7A0AE7"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127 301</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610107FF"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568 082</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7F9CB7CC"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2,5</w:t>
                  </w:r>
                </w:p>
              </w:tc>
              <w:tc>
                <w:tcPr>
                  <w:tcW w:w="410" w:type="pct"/>
                  <w:tcBorders>
                    <w:top w:val="single" w:sz="4" w:space="0" w:color="auto"/>
                    <w:left w:val="nil"/>
                    <w:bottom w:val="single" w:sz="4" w:space="0" w:color="auto"/>
                    <w:right w:val="single" w:sz="4" w:space="0" w:color="auto"/>
                  </w:tcBorders>
                  <w:shd w:val="clear" w:color="000000" w:fill="FFFFFF"/>
                  <w:vAlign w:val="center"/>
                  <w:hideMark/>
                </w:tcPr>
                <w:p w14:paraId="3A43F81C"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916 331</w:t>
                  </w:r>
                </w:p>
              </w:tc>
              <w:tc>
                <w:tcPr>
                  <w:tcW w:w="408" w:type="pct"/>
                  <w:tcBorders>
                    <w:top w:val="single" w:sz="4" w:space="0" w:color="auto"/>
                    <w:left w:val="nil"/>
                    <w:bottom w:val="single" w:sz="4" w:space="0" w:color="auto"/>
                    <w:right w:val="single" w:sz="4" w:space="0" w:color="auto"/>
                  </w:tcBorders>
                  <w:shd w:val="clear" w:color="000000" w:fill="FFFFFF"/>
                  <w:vAlign w:val="center"/>
                  <w:hideMark/>
                </w:tcPr>
                <w:p w14:paraId="5C920C55" w14:textId="77777777" w:rsidR="009E2146" w:rsidRPr="009E2146" w:rsidRDefault="009E2146" w:rsidP="009E2146">
                  <w:pPr>
                    <w:jc w:val="right"/>
                    <w:rPr>
                      <w:rFonts w:ascii="Calibri" w:hAnsi="Calibri" w:cs="Calibri"/>
                      <w:b/>
                      <w:bCs/>
                      <w:color w:val="000000"/>
                      <w:sz w:val="14"/>
                      <w:szCs w:val="14"/>
                    </w:rPr>
                  </w:pPr>
                  <w:r w:rsidRPr="009E2146">
                    <w:rPr>
                      <w:rFonts w:ascii="Calibri" w:hAnsi="Calibri" w:cs="Calibri"/>
                      <w:b/>
                      <w:bCs/>
                      <w:color w:val="000000"/>
                      <w:sz w:val="14"/>
                      <w:szCs w:val="14"/>
                    </w:rPr>
                    <w:t>44%</w:t>
                  </w:r>
                </w:p>
              </w:tc>
            </w:tr>
          </w:tbl>
          <w:p w14:paraId="7ACC2221" w14:textId="77777777" w:rsidR="009E2146" w:rsidRDefault="009E2146"/>
          <w:p w14:paraId="5E972157" w14:textId="32BED87C" w:rsidR="00F92BDF" w:rsidRDefault="00000000">
            <w:r>
              <w:t>Key financials of GCC members: its visible that FERROTECH is the key GCC member</w:t>
            </w:r>
            <w:r>
              <w:br/>
            </w:r>
          </w:p>
        </w:tc>
      </w:tr>
      <w:tr w:rsidR="00BA2335" w:rsidRPr="0052584F" w14:paraId="66F2C547" w14:textId="77777777" w:rsidTr="009E2146">
        <w:trPr>
          <w:trHeight w:val="532"/>
        </w:trPr>
        <w:tc>
          <w:tcPr>
            <w:tcW w:w="10377" w:type="dxa"/>
            <w:gridSpan w:val="2"/>
            <w:shd w:val="clear" w:color="auto" w:fill="auto"/>
            <w:vAlign w:val="center"/>
          </w:tcPr>
          <w:p w14:paraId="44680E20" w14:textId="7B425F47" w:rsidR="00F92BDF" w:rsidRDefault="00000000">
            <w:r>
              <w:lastRenderedPageBreak/>
              <w:t>Ownership:</w:t>
            </w:r>
            <w:r>
              <w:br/>
              <w:t xml:space="preserve">Willingness to support the company: </w:t>
            </w:r>
            <w:r w:rsidR="003609FF">
              <w:t xml:space="preserve"> No </w:t>
            </w:r>
            <w:r w:rsidR="003609FF" w:rsidRPr="00A20D53">
              <w:rPr>
                <w:sz w:val="20"/>
                <w:lang w:val="en-US"/>
              </w:rPr>
              <w:sym w:font="Wingdings" w:char="F0E0"/>
            </w:r>
            <w:r>
              <w:t xml:space="preserve"> aval for the limits not provided and considered as deal breaker</w:t>
            </w:r>
            <w:r>
              <w:br/>
              <w:t xml:space="preserve">Adequate size of to support the company: </w:t>
            </w:r>
            <w:r w:rsidR="003609FF">
              <w:t xml:space="preserve">No </w:t>
            </w:r>
            <w:r w:rsidR="003609FF" w:rsidRPr="00A20D53">
              <w:rPr>
                <w:sz w:val="20"/>
                <w:lang w:val="en-US"/>
              </w:rPr>
              <w:sym w:font="Wingdings" w:char="F0E0"/>
            </w:r>
            <w:r>
              <w:t xml:space="preserve"> FERROTECH is the key profit making entity owned by Mr. </w:t>
            </w:r>
            <w:r w:rsidR="002B0CAB">
              <w:t>Novák</w:t>
            </w:r>
            <w:r>
              <w:t xml:space="preserve"> </w:t>
            </w:r>
          </w:p>
        </w:tc>
      </w:tr>
    </w:tbl>
    <w:p w14:paraId="0A8724F7" w14:textId="77777777" w:rsidR="00BA2335" w:rsidRPr="0052584F" w:rsidRDefault="00BA2335" w:rsidP="00112486">
      <w:pPr>
        <w:ind w:right="-1"/>
        <w:jc w:val="both"/>
        <w:rPr>
          <w:rFonts w:ascii="Futura" w:hAnsi="Futura"/>
          <w:sz w:val="22"/>
          <w:highlight w:val="cyan"/>
          <w:lang w:val="en-US"/>
        </w:rPr>
      </w:pP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4"/>
        <w:gridCol w:w="1843"/>
      </w:tblGrid>
      <w:tr w:rsidR="00BA2335" w:rsidRPr="0052584F" w14:paraId="0C9A7144" w14:textId="77777777" w:rsidTr="001B4094">
        <w:trPr>
          <w:trHeight w:val="418"/>
        </w:trPr>
        <w:tc>
          <w:tcPr>
            <w:tcW w:w="8534" w:type="dxa"/>
            <w:shd w:val="clear" w:color="auto" w:fill="CCFFFF"/>
            <w:vAlign w:val="center"/>
          </w:tcPr>
          <w:p w14:paraId="7DA1C7FB" w14:textId="2E463155" w:rsidR="00F92BDF" w:rsidRDefault="00000000">
            <w:r>
              <w:t xml:space="preserve">Business Risk: </w:t>
            </w:r>
            <w:r w:rsidR="00856A82">
              <w:t>Moderate</w:t>
            </w:r>
          </w:p>
        </w:tc>
        <w:tc>
          <w:tcPr>
            <w:tcW w:w="1843" w:type="dxa"/>
            <w:shd w:val="clear" w:color="auto" w:fill="CCFFFF"/>
            <w:vAlign w:val="center"/>
          </w:tcPr>
          <w:p w14:paraId="4281E77D" w14:textId="4E14427C" w:rsidR="00F92BDF" w:rsidRDefault="00000000">
            <w:r>
              <w:t xml:space="preserve">Outlook: </w:t>
            </w:r>
            <w:r w:rsidR="00856A82">
              <w:t>Stable</w:t>
            </w:r>
          </w:p>
        </w:tc>
      </w:tr>
      <w:tr w:rsidR="00BA2335" w:rsidRPr="0052584F" w14:paraId="148FC4FF" w14:textId="77777777" w:rsidTr="001B4094">
        <w:tblPrEx>
          <w:tblCellMar>
            <w:left w:w="70" w:type="dxa"/>
            <w:right w:w="70" w:type="dxa"/>
          </w:tblCellMar>
        </w:tblPrEx>
        <w:trPr>
          <w:trHeight w:val="454"/>
        </w:trPr>
        <w:tc>
          <w:tcPr>
            <w:tcW w:w="10377" w:type="dxa"/>
            <w:gridSpan w:val="2"/>
            <w:shd w:val="clear" w:color="auto" w:fill="auto"/>
          </w:tcPr>
          <w:p w14:paraId="1BF802CA" w14:textId="1C733E13" w:rsidR="00F92BDF" w:rsidRDefault="00000000">
            <w:r>
              <w:t>Activity:</w:t>
            </w:r>
            <w:r>
              <w:br/>
              <w:t xml:space="preserve">FERROTECH is one of the leading processors of flat rolled products </w:t>
            </w:r>
            <w:r w:rsidR="00DF79D5">
              <w:t>in the Country</w:t>
            </w:r>
            <w:r>
              <w:t xml:space="preserve"> and CEE markets. It consist of cold rolled and hot rolled products and also galvanized products are delivered; over 95% represented by steel and share of aluminum marginal.</w:t>
            </w:r>
            <w:r>
              <w:br/>
              <w:t>Business model:</w:t>
            </w:r>
            <w:r>
              <w:br/>
              <w:t>Company operates 2 so called “</w:t>
            </w:r>
            <w:r w:rsidR="003F0237" w:rsidRPr="003F0237">
              <w:t>Metal Processing Hubs</w:t>
            </w:r>
            <w:r>
              <w:t>” (production plant as well as distribution &amp; warehousing) in Steel Valley (</w:t>
            </w:r>
            <w:r w:rsidR="009E0808">
              <w:t>75</w:t>
            </w:r>
            <w:r>
              <w:t>% share of revenues) and Iron Hills (</w:t>
            </w:r>
            <w:r w:rsidR="009E0808">
              <w:t>25</w:t>
            </w:r>
            <w:r>
              <w:t>%). Both are in ownership of FERROTECH</w:t>
            </w:r>
            <w:r>
              <w:br/>
              <w:t xml:space="preserve">Broad technological possibilities (e.g. longitudinal slitting up to the thickness of 4.5 mm and transversal cutting up to the width of 1850 mm). New warehousing premises and cutting line launched in end of 2022 </w:t>
            </w:r>
            <w:r>
              <w:br/>
              <w:t xml:space="preserve">Track record: </w:t>
            </w:r>
            <w:r w:rsidR="000B305B">
              <w:t>Solid</w:t>
            </w:r>
          </w:p>
        </w:tc>
      </w:tr>
      <w:tr w:rsidR="00BA2335" w:rsidRPr="0052584F" w14:paraId="0E688127" w14:textId="77777777" w:rsidTr="001B4094">
        <w:tblPrEx>
          <w:tblCellMar>
            <w:left w:w="70" w:type="dxa"/>
            <w:right w:w="70" w:type="dxa"/>
          </w:tblCellMar>
        </w:tblPrEx>
        <w:trPr>
          <w:trHeight w:val="773"/>
        </w:trPr>
        <w:tc>
          <w:tcPr>
            <w:tcW w:w="10377" w:type="dxa"/>
            <w:gridSpan w:val="2"/>
            <w:shd w:val="clear" w:color="auto" w:fill="auto"/>
          </w:tcPr>
          <w:p w14:paraId="6B881BB7" w14:textId="77777777" w:rsidR="008E68F6" w:rsidRDefault="00000000">
            <w:r>
              <w:t xml:space="preserve">Customers: </w:t>
            </w:r>
            <w:r>
              <w:br/>
              <w:t xml:space="preserve">Major part of customers is from automotive industry with </w:t>
            </w:r>
            <w:r w:rsidR="00FF0B32">
              <w:t>80</w:t>
            </w:r>
            <w:r>
              <w:t xml:space="preserve">% share (vs. </w:t>
            </w:r>
            <w:r w:rsidR="00EF646E">
              <w:t>68</w:t>
            </w:r>
            <w:r>
              <w:t xml:space="preserve">% PY; combination of slight increase in automotive and decrease in other segment); other sectors represented mainly by metallurgy and construction. Deliveries connected dominantly to bodywork of cars and so no negative impact connected with electromobility expected. </w:t>
            </w:r>
            <w:r>
              <w:br/>
              <w:t xml:space="preserve">Customer portfolio: </w:t>
            </w:r>
            <w:r w:rsidR="00F14B15">
              <w:t>diversified</w:t>
            </w:r>
          </w:p>
          <w:p w14:paraId="7D18042C" w14:textId="77777777" w:rsidR="007137A3" w:rsidRDefault="007137A3"/>
          <w:tbl>
            <w:tblPr>
              <w:tblW w:w="5813" w:type="dxa"/>
              <w:tblLayout w:type="fixed"/>
              <w:tblLook w:val="04A0" w:firstRow="1" w:lastRow="0" w:firstColumn="1" w:lastColumn="0" w:noHBand="0" w:noVBand="1"/>
            </w:tblPr>
            <w:tblGrid>
              <w:gridCol w:w="1937"/>
              <w:gridCol w:w="1937"/>
              <w:gridCol w:w="1939"/>
            </w:tblGrid>
            <w:tr w:rsidR="002D167B" w:rsidRPr="008E68F6" w14:paraId="7E47C204" w14:textId="77777777" w:rsidTr="002D167B">
              <w:trPr>
                <w:trHeight w:val="29"/>
              </w:trPr>
              <w:tc>
                <w:tcPr>
                  <w:tcW w:w="1937" w:type="dxa"/>
                  <w:tcBorders>
                    <w:top w:val="nil"/>
                    <w:left w:val="nil"/>
                    <w:bottom w:val="single" w:sz="4" w:space="0" w:color="auto"/>
                    <w:right w:val="nil"/>
                  </w:tcBorders>
                  <w:shd w:val="clear" w:color="000000" w:fill="DDEBF7"/>
                  <w:vAlign w:val="center"/>
                </w:tcPr>
                <w:p w14:paraId="55873916" w14:textId="77777777" w:rsidR="002D167B" w:rsidRPr="008E68F6" w:rsidRDefault="002D167B" w:rsidP="002D167B">
                  <w:pPr>
                    <w:jc w:val="center"/>
                    <w:rPr>
                      <w:rFonts w:ascii="Calibri" w:hAnsi="Calibri" w:cs="Calibri"/>
                      <w:b/>
                      <w:bCs/>
                      <w:color w:val="000000"/>
                      <w:sz w:val="16"/>
                      <w:szCs w:val="16"/>
                    </w:rPr>
                  </w:pPr>
                </w:p>
              </w:tc>
              <w:tc>
                <w:tcPr>
                  <w:tcW w:w="3876" w:type="dxa"/>
                  <w:gridSpan w:val="2"/>
                  <w:tcBorders>
                    <w:top w:val="nil"/>
                    <w:left w:val="nil"/>
                    <w:bottom w:val="single" w:sz="4" w:space="0" w:color="auto"/>
                    <w:right w:val="nil"/>
                  </w:tcBorders>
                  <w:shd w:val="clear" w:color="000000" w:fill="DDEBF7"/>
                  <w:vAlign w:val="center"/>
                </w:tcPr>
                <w:p w14:paraId="58E5ADC2" w14:textId="29CFDE3B" w:rsidR="002D167B" w:rsidRPr="008E68F6" w:rsidRDefault="002D167B" w:rsidP="002D167B">
                  <w:pPr>
                    <w:jc w:val="center"/>
                    <w:rPr>
                      <w:rFonts w:ascii="Calibri" w:hAnsi="Calibri" w:cs="Calibri"/>
                      <w:color w:val="000000"/>
                      <w:sz w:val="16"/>
                      <w:szCs w:val="16"/>
                    </w:rPr>
                  </w:pPr>
                  <w:r w:rsidRPr="002D167B">
                    <w:rPr>
                      <w:rFonts w:ascii="Calibri" w:hAnsi="Calibri" w:cs="Calibri"/>
                      <w:b/>
                      <w:bCs/>
                      <w:color w:val="000000"/>
                      <w:sz w:val="16"/>
                      <w:szCs w:val="16"/>
                    </w:rPr>
                    <w:t>01.12.2023</w:t>
                  </w:r>
                </w:p>
              </w:tc>
            </w:tr>
            <w:tr w:rsidR="002D167B" w:rsidRPr="008E68F6" w14:paraId="3F1895F0" w14:textId="77777777" w:rsidTr="002D167B">
              <w:trPr>
                <w:trHeight w:val="29"/>
              </w:trPr>
              <w:tc>
                <w:tcPr>
                  <w:tcW w:w="1937" w:type="dxa"/>
                  <w:tcBorders>
                    <w:top w:val="nil"/>
                    <w:left w:val="nil"/>
                    <w:bottom w:val="single" w:sz="4" w:space="0" w:color="auto"/>
                    <w:right w:val="nil"/>
                  </w:tcBorders>
                  <w:shd w:val="clear" w:color="000000" w:fill="DDEBF7"/>
                  <w:vAlign w:val="center"/>
                  <w:hideMark/>
                </w:tcPr>
                <w:p w14:paraId="3DD3F4F8" w14:textId="6BCEF45D" w:rsidR="002D167B" w:rsidRPr="008E68F6" w:rsidRDefault="002D167B" w:rsidP="002D167B">
                  <w:pPr>
                    <w:rPr>
                      <w:rFonts w:ascii="Calibri" w:hAnsi="Calibri" w:cs="Calibri"/>
                      <w:b/>
                      <w:bCs/>
                      <w:color w:val="000000"/>
                      <w:sz w:val="16"/>
                      <w:szCs w:val="16"/>
                    </w:rPr>
                  </w:pPr>
                  <w:r w:rsidRPr="008E68F6">
                    <w:rPr>
                      <w:rFonts w:ascii="Calibri" w:hAnsi="Calibri" w:cs="Calibri"/>
                      <w:b/>
                      <w:bCs/>
                      <w:color w:val="000000"/>
                      <w:sz w:val="16"/>
                      <w:szCs w:val="16"/>
                    </w:rPr>
                    <w:t>Customer name</w:t>
                  </w:r>
                </w:p>
              </w:tc>
              <w:tc>
                <w:tcPr>
                  <w:tcW w:w="1937" w:type="dxa"/>
                  <w:tcBorders>
                    <w:top w:val="nil"/>
                    <w:left w:val="nil"/>
                    <w:bottom w:val="single" w:sz="4" w:space="0" w:color="auto"/>
                    <w:right w:val="nil"/>
                  </w:tcBorders>
                  <w:shd w:val="clear" w:color="000000" w:fill="DDEBF7"/>
                  <w:vAlign w:val="center"/>
                  <w:hideMark/>
                </w:tcPr>
                <w:p w14:paraId="076993C8"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USD</w:t>
                  </w:r>
                </w:p>
              </w:tc>
              <w:tc>
                <w:tcPr>
                  <w:tcW w:w="1939" w:type="dxa"/>
                  <w:tcBorders>
                    <w:top w:val="nil"/>
                    <w:left w:val="nil"/>
                    <w:bottom w:val="single" w:sz="4" w:space="0" w:color="auto"/>
                    <w:right w:val="nil"/>
                  </w:tcBorders>
                  <w:shd w:val="clear" w:color="000000" w:fill="DDEBF7"/>
                  <w:vAlign w:val="center"/>
                  <w:hideMark/>
                </w:tcPr>
                <w:p w14:paraId="78571048"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w:t>
                  </w:r>
                </w:p>
              </w:tc>
            </w:tr>
            <w:tr w:rsidR="002D167B" w:rsidRPr="008E68F6" w14:paraId="1BF3B50A" w14:textId="77777777" w:rsidTr="002D167B">
              <w:trPr>
                <w:trHeight w:val="29"/>
              </w:trPr>
              <w:tc>
                <w:tcPr>
                  <w:tcW w:w="1937" w:type="dxa"/>
                  <w:tcBorders>
                    <w:top w:val="nil"/>
                    <w:left w:val="nil"/>
                    <w:bottom w:val="single" w:sz="4" w:space="0" w:color="auto"/>
                    <w:right w:val="nil"/>
                  </w:tcBorders>
                  <w:shd w:val="clear" w:color="auto" w:fill="auto"/>
                  <w:vAlign w:val="center"/>
                  <w:hideMark/>
                </w:tcPr>
                <w:p w14:paraId="2D3CF4BA" w14:textId="77777777" w:rsidR="002D167B" w:rsidRPr="008E68F6" w:rsidRDefault="002D167B" w:rsidP="002D167B">
                  <w:pPr>
                    <w:rPr>
                      <w:rFonts w:ascii="Calibri" w:hAnsi="Calibri" w:cs="Calibri"/>
                      <w:color w:val="000000"/>
                      <w:sz w:val="16"/>
                      <w:szCs w:val="16"/>
                    </w:rPr>
                  </w:pPr>
                  <w:r w:rsidRPr="008E68F6">
                    <w:rPr>
                      <w:rFonts w:ascii="Calibri" w:hAnsi="Calibri" w:cs="Calibri"/>
                      <w:color w:val="000000"/>
                      <w:sz w:val="16"/>
                      <w:szCs w:val="16"/>
                    </w:rPr>
                    <w:t>AutoFusion Dynamics</w:t>
                  </w:r>
                </w:p>
              </w:tc>
              <w:tc>
                <w:tcPr>
                  <w:tcW w:w="1937" w:type="dxa"/>
                  <w:tcBorders>
                    <w:top w:val="nil"/>
                    <w:left w:val="nil"/>
                    <w:bottom w:val="single" w:sz="4" w:space="0" w:color="auto"/>
                    <w:right w:val="nil"/>
                  </w:tcBorders>
                  <w:shd w:val="clear" w:color="auto" w:fill="auto"/>
                  <w:vAlign w:val="center"/>
                  <w:hideMark/>
                </w:tcPr>
                <w:p w14:paraId="16854390"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418 150</w:t>
                  </w:r>
                </w:p>
              </w:tc>
              <w:tc>
                <w:tcPr>
                  <w:tcW w:w="1939" w:type="dxa"/>
                  <w:tcBorders>
                    <w:top w:val="nil"/>
                    <w:left w:val="nil"/>
                    <w:bottom w:val="single" w:sz="4" w:space="0" w:color="auto"/>
                    <w:right w:val="nil"/>
                  </w:tcBorders>
                  <w:shd w:val="clear" w:color="auto" w:fill="auto"/>
                  <w:vAlign w:val="center"/>
                  <w:hideMark/>
                </w:tcPr>
                <w:p w14:paraId="117DA370"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12,60%</w:t>
                  </w:r>
                </w:p>
              </w:tc>
            </w:tr>
            <w:tr w:rsidR="002D167B" w:rsidRPr="008E68F6" w14:paraId="0F5A4208" w14:textId="77777777" w:rsidTr="002D167B">
              <w:trPr>
                <w:trHeight w:val="29"/>
              </w:trPr>
              <w:tc>
                <w:tcPr>
                  <w:tcW w:w="1937" w:type="dxa"/>
                  <w:tcBorders>
                    <w:top w:val="nil"/>
                    <w:left w:val="nil"/>
                    <w:bottom w:val="single" w:sz="4" w:space="0" w:color="auto"/>
                    <w:right w:val="nil"/>
                  </w:tcBorders>
                  <w:shd w:val="clear" w:color="auto" w:fill="auto"/>
                  <w:vAlign w:val="center"/>
                  <w:hideMark/>
                </w:tcPr>
                <w:p w14:paraId="6F7500B2" w14:textId="77777777" w:rsidR="002D167B" w:rsidRPr="008E68F6" w:rsidRDefault="002D167B" w:rsidP="002D167B">
                  <w:pPr>
                    <w:rPr>
                      <w:rFonts w:ascii="Calibri" w:hAnsi="Calibri" w:cs="Calibri"/>
                      <w:color w:val="000000"/>
                      <w:sz w:val="16"/>
                      <w:szCs w:val="16"/>
                    </w:rPr>
                  </w:pPr>
                  <w:r w:rsidRPr="008E68F6">
                    <w:rPr>
                      <w:rFonts w:ascii="Calibri" w:hAnsi="Calibri" w:cs="Calibri"/>
                      <w:color w:val="000000"/>
                      <w:sz w:val="16"/>
                      <w:szCs w:val="16"/>
                    </w:rPr>
                    <w:t>PrecisionFlex Engineering</w:t>
                  </w:r>
                </w:p>
              </w:tc>
              <w:tc>
                <w:tcPr>
                  <w:tcW w:w="1937" w:type="dxa"/>
                  <w:tcBorders>
                    <w:top w:val="nil"/>
                    <w:left w:val="nil"/>
                    <w:bottom w:val="single" w:sz="4" w:space="0" w:color="auto"/>
                    <w:right w:val="nil"/>
                  </w:tcBorders>
                  <w:shd w:val="clear" w:color="auto" w:fill="auto"/>
                  <w:vAlign w:val="center"/>
                  <w:hideMark/>
                </w:tcPr>
                <w:p w14:paraId="76A8921D"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125 615</w:t>
                  </w:r>
                </w:p>
              </w:tc>
              <w:tc>
                <w:tcPr>
                  <w:tcW w:w="1939" w:type="dxa"/>
                  <w:tcBorders>
                    <w:top w:val="nil"/>
                    <w:left w:val="nil"/>
                    <w:bottom w:val="single" w:sz="4" w:space="0" w:color="auto"/>
                    <w:right w:val="nil"/>
                  </w:tcBorders>
                  <w:shd w:val="clear" w:color="auto" w:fill="auto"/>
                  <w:vAlign w:val="center"/>
                  <w:hideMark/>
                </w:tcPr>
                <w:p w14:paraId="3BFA60A4"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3,80%</w:t>
                  </w:r>
                </w:p>
              </w:tc>
            </w:tr>
            <w:tr w:rsidR="002D167B" w:rsidRPr="008E68F6" w14:paraId="7993AFF6" w14:textId="77777777" w:rsidTr="002D167B">
              <w:trPr>
                <w:trHeight w:val="29"/>
              </w:trPr>
              <w:tc>
                <w:tcPr>
                  <w:tcW w:w="1937" w:type="dxa"/>
                  <w:tcBorders>
                    <w:top w:val="nil"/>
                    <w:left w:val="nil"/>
                    <w:bottom w:val="single" w:sz="4" w:space="0" w:color="auto"/>
                    <w:right w:val="nil"/>
                  </w:tcBorders>
                  <w:shd w:val="clear" w:color="auto" w:fill="auto"/>
                  <w:vAlign w:val="center"/>
                  <w:hideMark/>
                </w:tcPr>
                <w:p w14:paraId="14A3E734" w14:textId="77777777" w:rsidR="002D167B" w:rsidRPr="008E68F6" w:rsidRDefault="002D167B" w:rsidP="002D167B">
                  <w:pPr>
                    <w:rPr>
                      <w:rFonts w:ascii="Calibri" w:hAnsi="Calibri" w:cs="Calibri"/>
                      <w:color w:val="000000"/>
                      <w:sz w:val="16"/>
                      <w:szCs w:val="16"/>
                    </w:rPr>
                  </w:pPr>
                  <w:r w:rsidRPr="008E68F6">
                    <w:rPr>
                      <w:rFonts w:ascii="Calibri" w:hAnsi="Calibri" w:cs="Calibri"/>
                      <w:color w:val="000000"/>
                      <w:sz w:val="16"/>
                      <w:szCs w:val="16"/>
                    </w:rPr>
                    <w:t>Innovatech Components</w:t>
                  </w:r>
                </w:p>
              </w:tc>
              <w:tc>
                <w:tcPr>
                  <w:tcW w:w="1937" w:type="dxa"/>
                  <w:tcBorders>
                    <w:top w:val="nil"/>
                    <w:left w:val="nil"/>
                    <w:bottom w:val="single" w:sz="4" w:space="0" w:color="auto"/>
                    <w:right w:val="nil"/>
                  </w:tcBorders>
                  <w:shd w:val="clear" w:color="auto" w:fill="auto"/>
                  <w:vAlign w:val="center"/>
                  <w:hideMark/>
                </w:tcPr>
                <w:p w14:paraId="6EE97581"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125 351</w:t>
                  </w:r>
                </w:p>
              </w:tc>
              <w:tc>
                <w:tcPr>
                  <w:tcW w:w="1939" w:type="dxa"/>
                  <w:tcBorders>
                    <w:top w:val="nil"/>
                    <w:left w:val="nil"/>
                    <w:bottom w:val="single" w:sz="4" w:space="0" w:color="auto"/>
                    <w:right w:val="nil"/>
                  </w:tcBorders>
                  <w:shd w:val="clear" w:color="auto" w:fill="auto"/>
                  <w:vAlign w:val="center"/>
                  <w:hideMark/>
                </w:tcPr>
                <w:p w14:paraId="0D4DB7DF"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3,80%</w:t>
                  </w:r>
                </w:p>
              </w:tc>
            </w:tr>
            <w:tr w:rsidR="002D167B" w:rsidRPr="008E68F6" w14:paraId="0BBF1F62" w14:textId="77777777" w:rsidTr="002D167B">
              <w:trPr>
                <w:trHeight w:val="29"/>
              </w:trPr>
              <w:tc>
                <w:tcPr>
                  <w:tcW w:w="1937" w:type="dxa"/>
                  <w:tcBorders>
                    <w:top w:val="nil"/>
                    <w:left w:val="nil"/>
                    <w:bottom w:val="single" w:sz="4" w:space="0" w:color="auto"/>
                    <w:right w:val="nil"/>
                  </w:tcBorders>
                  <w:shd w:val="clear" w:color="auto" w:fill="auto"/>
                  <w:vAlign w:val="center"/>
                  <w:hideMark/>
                </w:tcPr>
                <w:p w14:paraId="31D27B49" w14:textId="77777777" w:rsidR="002D167B" w:rsidRPr="008E68F6" w:rsidRDefault="002D167B" w:rsidP="002D167B">
                  <w:pPr>
                    <w:rPr>
                      <w:rFonts w:ascii="Calibri" w:hAnsi="Calibri" w:cs="Calibri"/>
                      <w:color w:val="000000"/>
                      <w:sz w:val="16"/>
                      <w:szCs w:val="16"/>
                    </w:rPr>
                  </w:pPr>
                  <w:r w:rsidRPr="008E68F6">
                    <w:rPr>
                      <w:rFonts w:ascii="Calibri" w:hAnsi="Calibri" w:cs="Calibri"/>
                      <w:color w:val="000000"/>
                      <w:sz w:val="16"/>
                      <w:szCs w:val="16"/>
                    </w:rPr>
                    <w:t>CarVantage Systems</w:t>
                  </w:r>
                </w:p>
              </w:tc>
              <w:tc>
                <w:tcPr>
                  <w:tcW w:w="1937" w:type="dxa"/>
                  <w:tcBorders>
                    <w:top w:val="nil"/>
                    <w:left w:val="nil"/>
                    <w:bottom w:val="single" w:sz="4" w:space="0" w:color="auto"/>
                    <w:right w:val="nil"/>
                  </w:tcBorders>
                  <w:shd w:val="clear" w:color="auto" w:fill="auto"/>
                  <w:vAlign w:val="center"/>
                  <w:hideMark/>
                </w:tcPr>
                <w:p w14:paraId="72D0705D"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122 444</w:t>
                  </w:r>
                </w:p>
              </w:tc>
              <w:tc>
                <w:tcPr>
                  <w:tcW w:w="1939" w:type="dxa"/>
                  <w:tcBorders>
                    <w:top w:val="nil"/>
                    <w:left w:val="nil"/>
                    <w:bottom w:val="single" w:sz="4" w:space="0" w:color="auto"/>
                    <w:right w:val="nil"/>
                  </w:tcBorders>
                  <w:shd w:val="clear" w:color="auto" w:fill="auto"/>
                  <w:vAlign w:val="center"/>
                  <w:hideMark/>
                </w:tcPr>
                <w:p w14:paraId="41739F9D"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3,70%</w:t>
                  </w:r>
                </w:p>
              </w:tc>
            </w:tr>
            <w:tr w:rsidR="002D167B" w:rsidRPr="008E68F6" w14:paraId="7D1D3E6E" w14:textId="77777777" w:rsidTr="002D167B">
              <w:trPr>
                <w:trHeight w:val="29"/>
              </w:trPr>
              <w:tc>
                <w:tcPr>
                  <w:tcW w:w="1937" w:type="dxa"/>
                  <w:tcBorders>
                    <w:top w:val="nil"/>
                    <w:left w:val="nil"/>
                    <w:bottom w:val="single" w:sz="4" w:space="0" w:color="auto"/>
                    <w:right w:val="nil"/>
                  </w:tcBorders>
                  <w:shd w:val="clear" w:color="auto" w:fill="auto"/>
                  <w:vAlign w:val="center"/>
                  <w:hideMark/>
                </w:tcPr>
                <w:p w14:paraId="3E23A1CF" w14:textId="77777777" w:rsidR="002D167B" w:rsidRPr="008E68F6" w:rsidRDefault="002D167B" w:rsidP="002D167B">
                  <w:pPr>
                    <w:rPr>
                      <w:rFonts w:ascii="Calibri" w:hAnsi="Calibri" w:cs="Calibri"/>
                      <w:color w:val="000000"/>
                      <w:sz w:val="16"/>
                      <w:szCs w:val="16"/>
                    </w:rPr>
                  </w:pPr>
                  <w:r w:rsidRPr="008E68F6">
                    <w:rPr>
                      <w:rFonts w:ascii="Calibri" w:hAnsi="Calibri" w:cs="Calibri"/>
                      <w:color w:val="000000"/>
                      <w:sz w:val="16"/>
                      <w:szCs w:val="16"/>
                    </w:rPr>
                    <w:t>NexGen Engineering</w:t>
                  </w:r>
                </w:p>
              </w:tc>
              <w:tc>
                <w:tcPr>
                  <w:tcW w:w="1937" w:type="dxa"/>
                  <w:tcBorders>
                    <w:top w:val="nil"/>
                    <w:left w:val="nil"/>
                    <w:bottom w:val="single" w:sz="4" w:space="0" w:color="auto"/>
                    <w:right w:val="nil"/>
                  </w:tcBorders>
                  <w:shd w:val="clear" w:color="auto" w:fill="auto"/>
                  <w:vAlign w:val="center"/>
                  <w:hideMark/>
                </w:tcPr>
                <w:p w14:paraId="7803464E"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112 109</w:t>
                  </w:r>
                </w:p>
              </w:tc>
              <w:tc>
                <w:tcPr>
                  <w:tcW w:w="1939" w:type="dxa"/>
                  <w:tcBorders>
                    <w:top w:val="nil"/>
                    <w:left w:val="nil"/>
                    <w:bottom w:val="single" w:sz="4" w:space="0" w:color="auto"/>
                    <w:right w:val="nil"/>
                  </w:tcBorders>
                  <w:shd w:val="clear" w:color="auto" w:fill="auto"/>
                  <w:vAlign w:val="center"/>
                  <w:hideMark/>
                </w:tcPr>
                <w:p w14:paraId="30AD22CF" w14:textId="77777777" w:rsidR="002D167B" w:rsidRPr="008E68F6" w:rsidRDefault="002D167B" w:rsidP="002D167B">
                  <w:pPr>
                    <w:jc w:val="center"/>
                    <w:rPr>
                      <w:rFonts w:ascii="Calibri" w:hAnsi="Calibri" w:cs="Calibri"/>
                      <w:color w:val="000000"/>
                      <w:sz w:val="16"/>
                      <w:szCs w:val="16"/>
                    </w:rPr>
                  </w:pPr>
                  <w:r w:rsidRPr="008E68F6">
                    <w:rPr>
                      <w:rFonts w:ascii="Calibri" w:hAnsi="Calibri" w:cs="Calibri"/>
                      <w:color w:val="000000"/>
                      <w:sz w:val="16"/>
                      <w:szCs w:val="16"/>
                    </w:rPr>
                    <w:t>3,40%</w:t>
                  </w:r>
                </w:p>
              </w:tc>
            </w:tr>
            <w:tr w:rsidR="002D167B" w:rsidRPr="008E68F6" w14:paraId="572C4C36" w14:textId="77777777" w:rsidTr="002D167B">
              <w:trPr>
                <w:trHeight w:val="29"/>
              </w:trPr>
              <w:tc>
                <w:tcPr>
                  <w:tcW w:w="1937" w:type="dxa"/>
                  <w:tcBorders>
                    <w:top w:val="nil"/>
                    <w:left w:val="nil"/>
                    <w:bottom w:val="single" w:sz="4" w:space="0" w:color="auto"/>
                    <w:right w:val="nil"/>
                  </w:tcBorders>
                  <w:shd w:val="clear" w:color="000000" w:fill="DDEBF7"/>
                  <w:vAlign w:val="center"/>
                  <w:hideMark/>
                </w:tcPr>
                <w:p w14:paraId="65F0FCFE" w14:textId="77777777" w:rsidR="002D167B" w:rsidRPr="008E68F6" w:rsidRDefault="002D167B" w:rsidP="002D167B">
                  <w:pPr>
                    <w:rPr>
                      <w:rFonts w:ascii="Calibri" w:hAnsi="Calibri" w:cs="Calibri"/>
                      <w:b/>
                      <w:bCs/>
                      <w:color w:val="000000"/>
                      <w:sz w:val="16"/>
                      <w:szCs w:val="16"/>
                    </w:rPr>
                  </w:pPr>
                  <w:r w:rsidRPr="008E68F6">
                    <w:rPr>
                      <w:rFonts w:ascii="Calibri" w:hAnsi="Calibri" w:cs="Calibri"/>
                      <w:b/>
                      <w:bCs/>
                      <w:color w:val="000000"/>
                      <w:sz w:val="16"/>
                      <w:szCs w:val="16"/>
                    </w:rPr>
                    <w:t>Subtotal Top5 customers</w:t>
                  </w:r>
                </w:p>
              </w:tc>
              <w:tc>
                <w:tcPr>
                  <w:tcW w:w="1937" w:type="dxa"/>
                  <w:tcBorders>
                    <w:top w:val="nil"/>
                    <w:left w:val="nil"/>
                    <w:bottom w:val="single" w:sz="4" w:space="0" w:color="auto"/>
                    <w:right w:val="nil"/>
                  </w:tcBorders>
                  <w:shd w:val="clear" w:color="000000" w:fill="DDEBF7"/>
                  <w:vAlign w:val="center"/>
                  <w:hideMark/>
                </w:tcPr>
                <w:p w14:paraId="69268000" w14:textId="77777777" w:rsidR="002D167B" w:rsidRPr="008E68F6" w:rsidRDefault="002D167B" w:rsidP="002D167B">
                  <w:pPr>
                    <w:jc w:val="center"/>
                    <w:rPr>
                      <w:rFonts w:ascii="Calibri" w:hAnsi="Calibri" w:cs="Calibri"/>
                      <w:b/>
                      <w:bCs/>
                      <w:color w:val="000000"/>
                      <w:sz w:val="16"/>
                      <w:szCs w:val="16"/>
                    </w:rPr>
                  </w:pPr>
                  <w:r w:rsidRPr="008E68F6">
                    <w:rPr>
                      <w:rFonts w:ascii="Calibri" w:hAnsi="Calibri" w:cs="Calibri"/>
                      <w:b/>
                      <w:bCs/>
                      <w:color w:val="000000"/>
                      <w:sz w:val="16"/>
                      <w:szCs w:val="16"/>
                    </w:rPr>
                    <w:t>903 669</w:t>
                  </w:r>
                </w:p>
              </w:tc>
              <w:tc>
                <w:tcPr>
                  <w:tcW w:w="1939" w:type="dxa"/>
                  <w:tcBorders>
                    <w:top w:val="nil"/>
                    <w:left w:val="nil"/>
                    <w:bottom w:val="single" w:sz="4" w:space="0" w:color="auto"/>
                    <w:right w:val="nil"/>
                  </w:tcBorders>
                  <w:shd w:val="clear" w:color="000000" w:fill="DDEBF7"/>
                  <w:vAlign w:val="center"/>
                  <w:hideMark/>
                </w:tcPr>
                <w:p w14:paraId="05097724" w14:textId="77777777" w:rsidR="002D167B" w:rsidRPr="008E68F6" w:rsidRDefault="002D167B" w:rsidP="002D167B">
                  <w:pPr>
                    <w:jc w:val="center"/>
                    <w:rPr>
                      <w:rFonts w:ascii="Calibri" w:hAnsi="Calibri" w:cs="Calibri"/>
                      <w:b/>
                      <w:bCs/>
                      <w:color w:val="000000"/>
                      <w:sz w:val="16"/>
                      <w:szCs w:val="16"/>
                    </w:rPr>
                  </w:pPr>
                  <w:r w:rsidRPr="008E68F6">
                    <w:rPr>
                      <w:rFonts w:ascii="Calibri" w:hAnsi="Calibri" w:cs="Calibri"/>
                      <w:b/>
                      <w:bCs/>
                      <w:color w:val="000000"/>
                      <w:sz w:val="16"/>
                      <w:szCs w:val="16"/>
                    </w:rPr>
                    <w:t>27,30%</w:t>
                  </w:r>
                </w:p>
              </w:tc>
            </w:tr>
          </w:tbl>
          <w:p w14:paraId="34ACBB8C" w14:textId="77777777" w:rsidR="000F28BA" w:rsidRDefault="00000000">
            <w:r>
              <w:br/>
              <w:t xml:space="preserve">Structure stable and LT cooperation with main off-taker; all TOP 5 customers previous year also in TOP10; concentration towards TOP 5 slightly increased from 22% to 27% driven by </w:t>
            </w:r>
            <w:r w:rsidR="008E68F6" w:rsidRPr="008E68F6">
              <w:t xml:space="preserve">AutoFusion Dynamics </w:t>
            </w:r>
            <w:r>
              <w:t>that increased fro</w:t>
            </w:r>
            <w:r w:rsidR="00844C3B">
              <w:t>m</w:t>
            </w:r>
            <w:r>
              <w:t xml:space="preserve"> 7% to nearly 13%</w:t>
            </w:r>
            <w:r>
              <w:br/>
              <w:t>Nearly 100% sales in EUR</w:t>
            </w:r>
            <w:r>
              <w:br/>
            </w:r>
            <w:r w:rsidR="009B3288">
              <w:lastRenderedPageBreak/>
              <w:t>The</w:t>
            </w:r>
            <w:r>
              <w:t xml:space="preserve"> market is dominant with 69% share; main export country SK (21% of sales) followed by GE (5%), HU and PL</w:t>
            </w:r>
            <w:r>
              <w:br/>
              <w:t xml:space="preserve">Various types of contracts with customers and in all cases based on estimated volumes (i.e. no binding contracts) </w:t>
            </w:r>
            <w:r>
              <w:br/>
              <w:t>Quarterly and semi-annually contracts: prices fixed for this period and based on expected volumes</w:t>
            </w:r>
            <w:r>
              <w:br/>
              <w:t>For entire 2024 planned output 154k tonnes (vs. 135k tonnes in 2023); 67k tonnes for 1H/24 and 36k tonnes for 2H/24 under frame contract = 67%</w:t>
            </w:r>
            <w:r>
              <w:br/>
              <w:t>Commodity risk: general approach to match volumes/prices in contracts with steel producers to contracts with end customers resp. the frame contracts. Nevertheless higher risk in case of yearly contracts and based on the fact that real sales under frame contracts might differ from planned values; part of business done on spot but commodity risk limited here due to short time between order and sale =&gt; clear strategy for mitigation but not possible to fully eliminate. Loss making contracts negligible resp. related to warranty claims (loss USD 461.5mn in 3/24)</w:t>
            </w:r>
            <w:r>
              <w:br/>
              <w:t>Margins for FERROTECH are set nominally for one tonne individually for each customer; moreover volumes, complexity of processing and type of material is reflected</w:t>
            </w:r>
            <w:r>
              <w:br/>
              <w:t>Payment conditions standard: 30-90D; collection period approx. 55D during the year; payment moral of customers ok with negligible items over 30D; problematic I/G items towards Alloy Dynamics Inc. remained unchanged in 2023 at USD 505.7mn and is fully provisioned</w:t>
            </w:r>
            <w:r>
              <w:br/>
              <w:t xml:space="preserve">Supply chain shortages: lack of chips visible in entire car industry in last years with consequences on </w:t>
            </w:r>
            <w:r w:rsidR="00E74A01">
              <w:t>FERRO</w:t>
            </w:r>
            <w:r>
              <w:t xml:space="preserve"> esp. in 2H/21 and 1H/2022; in 2023 stabilization</w:t>
            </w:r>
          </w:p>
          <w:p w14:paraId="6064150C" w14:textId="77777777" w:rsidR="000F28BA" w:rsidRDefault="000F28BA"/>
          <w:tbl>
            <w:tblPr>
              <w:tblW w:w="10208" w:type="dxa"/>
              <w:tblLayout w:type="fixed"/>
              <w:tblLook w:val="04A0" w:firstRow="1" w:lastRow="0" w:firstColumn="1" w:lastColumn="0" w:noHBand="0" w:noVBand="1"/>
            </w:tblPr>
            <w:tblGrid>
              <w:gridCol w:w="1525"/>
              <w:gridCol w:w="1160"/>
              <w:gridCol w:w="883"/>
              <w:gridCol w:w="883"/>
              <w:gridCol w:w="883"/>
              <w:gridCol w:w="883"/>
              <w:gridCol w:w="883"/>
              <w:gridCol w:w="883"/>
              <w:gridCol w:w="1195"/>
              <w:gridCol w:w="1030"/>
            </w:tblGrid>
            <w:tr w:rsidR="000F28BA" w:rsidRPr="000F28BA" w14:paraId="65C5DD2E" w14:textId="77777777" w:rsidTr="000F28BA">
              <w:trPr>
                <w:trHeight w:val="20"/>
              </w:trPr>
              <w:tc>
                <w:tcPr>
                  <w:tcW w:w="1525"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4573817E" w14:textId="77777777" w:rsidR="000F28BA" w:rsidRPr="000F28BA" w:rsidRDefault="000F28BA" w:rsidP="000F28BA">
                  <w:pPr>
                    <w:rPr>
                      <w:rFonts w:ascii="Calibri" w:hAnsi="Calibri" w:cs="Calibri"/>
                      <w:b/>
                      <w:bCs/>
                      <w:color w:val="000000"/>
                      <w:sz w:val="18"/>
                      <w:szCs w:val="18"/>
                      <w:lang w:val="en-US"/>
                    </w:rPr>
                  </w:pPr>
                  <w:r w:rsidRPr="000F28BA">
                    <w:rPr>
                      <w:rFonts w:ascii="Calibri" w:hAnsi="Calibri" w:cs="Calibri"/>
                      <w:b/>
                      <w:bCs/>
                      <w:color w:val="000000"/>
                      <w:sz w:val="18"/>
                      <w:szCs w:val="18"/>
                    </w:rPr>
                    <w:t>Trade</w:t>
                  </w:r>
                  <w:r w:rsidRPr="000F28BA">
                    <w:rPr>
                      <w:rFonts w:ascii="Calibri" w:hAnsi="Calibri" w:cs="Calibri"/>
                      <w:b/>
                      <w:bCs/>
                      <w:color w:val="000000"/>
                      <w:sz w:val="18"/>
                      <w:szCs w:val="18"/>
                    </w:rPr>
                    <w:br/>
                    <w:t>Receivables:</w:t>
                  </w:r>
                  <w:r w:rsidRPr="000F28BA">
                    <w:rPr>
                      <w:rFonts w:ascii="Calibri" w:hAnsi="Calibri" w:cs="Calibri"/>
                      <w:b/>
                      <w:bCs/>
                      <w:color w:val="000000"/>
                      <w:sz w:val="18"/>
                      <w:szCs w:val="18"/>
                    </w:rPr>
                    <w:br/>
                  </w:r>
                  <w:r w:rsidRPr="000F28BA">
                    <w:rPr>
                      <w:rFonts w:ascii="Calibri" w:hAnsi="Calibri" w:cs="Calibri"/>
                      <w:color w:val="000000"/>
                      <w:sz w:val="18"/>
                      <w:szCs w:val="18"/>
                    </w:rPr>
                    <w:t>Date</w:t>
                  </w:r>
                </w:p>
              </w:tc>
              <w:tc>
                <w:tcPr>
                  <w:tcW w:w="1160" w:type="dxa"/>
                  <w:tcBorders>
                    <w:top w:val="single" w:sz="4" w:space="0" w:color="auto"/>
                    <w:left w:val="nil"/>
                    <w:bottom w:val="single" w:sz="4" w:space="0" w:color="auto"/>
                    <w:right w:val="single" w:sz="4" w:space="0" w:color="auto"/>
                  </w:tcBorders>
                  <w:shd w:val="clear" w:color="000000" w:fill="DDEBF7"/>
                  <w:vAlign w:val="center"/>
                  <w:hideMark/>
                </w:tcPr>
                <w:p w14:paraId="7B3B9204"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Due</w:t>
                  </w:r>
                </w:p>
              </w:tc>
              <w:tc>
                <w:tcPr>
                  <w:tcW w:w="5298" w:type="dxa"/>
                  <w:gridSpan w:val="6"/>
                  <w:tcBorders>
                    <w:top w:val="single" w:sz="4" w:space="0" w:color="auto"/>
                    <w:left w:val="nil"/>
                    <w:bottom w:val="nil"/>
                    <w:right w:val="nil"/>
                  </w:tcBorders>
                  <w:shd w:val="clear" w:color="000000" w:fill="DDEBF7"/>
                  <w:vAlign w:val="center"/>
                  <w:hideMark/>
                </w:tcPr>
                <w:p w14:paraId="375D9C17"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Overdue brutto</w:t>
                  </w:r>
                </w:p>
              </w:tc>
              <w:tc>
                <w:tcPr>
                  <w:tcW w:w="1195"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D39E2EB"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Adjustments</w:t>
                  </w:r>
                </w:p>
              </w:tc>
              <w:tc>
                <w:tcPr>
                  <w:tcW w:w="103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0C30C90"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Total netto</w:t>
                  </w:r>
                </w:p>
              </w:tc>
            </w:tr>
            <w:tr w:rsidR="000F28BA" w:rsidRPr="000F28BA" w14:paraId="5BC0945F" w14:textId="77777777" w:rsidTr="000F28BA">
              <w:trPr>
                <w:trHeight w:val="20"/>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72C32AFD" w14:textId="77777777" w:rsidR="000F28BA" w:rsidRPr="000F28BA" w:rsidRDefault="000F28BA" w:rsidP="000F28BA">
                  <w:pPr>
                    <w:rPr>
                      <w:rFonts w:ascii="Calibri" w:hAnsi="Calibri" w:cs="Calibri"/>
                      <w:b/>
                      <w:bCs/>
                      <w:color w:val="000000"/>
                      <w:sz w:val="18"/>
                      <w:szCs w:val="18"/>
                    </w:rPr>
                  </w:pPr>
                </w:p>
              </w:tc>
              <w:tc>
                <w:tcPr>
                  <w:tcW w:w="1160" w:type="dxa"/>
                  <w:tcBorders>
                    <w:top w:val="nil"/>
                    <w:left w:val="nil"/>
                    <w:bottom w:val="single" w:sz="4" w:space="0" w:color="auto"/>
                    <w:right w:val="single" w:sz="4" w:space="0" w:color="auto"/>
                  </w:tcBorders>
                  <w:shd w:val="clear" w:color="000000" w:fill="DDEBF7"/>
                  <w:vAlign w:val="center"/>
                  <w:hideMark/>
                </w:tcPr>
                <w:p w14:paraId="445520B9" w14:textId="0F601144" w:rsidR="000F28BA" w:rsidRPr="000F28BA" w:rsidRDefault="00A84E91" w:rsidP="000F28BA">
                  <w:pPr>
                    <w:rPr>
                      <w:rFonts w:ascii="Calibri" w:hAnsi="Calibri" w:cs="Calibri"/>
                      <w:color w:val="000000"/>
                      <w:sz w:val="18"/>
                      <w:szCs w:val="18"/>
                    </w:rPr>
                  </w:pPr>
                  <w:r>
                    <w:rPr>
                      <w:rFonts w:ascii="Calibri" w:hAnsi="Calibri" w:cs="Calibri"/>
                      <w:color w:val="000000"/>
                      <w:sz w:val="18"/>
                      <w:szCs w:val="18"/>
                    </w:rPr>
                    <w:t>USD</w:t>
                  </w:r>
                  <w:r w:rsidR="000F28BA" w:rsidRPr="000F28BA">
                    <w:rPr>
                      <w:rFonts w:ascii="Calibri" w:hAnsi="Calibri" w:cs="Calibri"/>
                      <w:color w:val="000000"/>
                      <w:sz w:val="18"/>
                      <w:szCs w:val="18"/>
                    </w:rPr>
                    <w:t xml:space="preserve"> tsd</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10D539F1" w14:textId="77777777" w:rsidR="000F28BA" w:rsidRPr="000F28BA" w:rsidRDefault="000F28BA" w:rsidP="000F28BA">
                  <w:pPr>
                    <w:rPr>
                      <w:rFonts w:ascii="Calibri" w:hAnsi="Calibri" w:cs="Calibri"/>
                      <w:color w:val="000000"/>
                      <w:sz w:val="18"/>
                      <w:szCs w:val="18"/>
                    </w:rPr>
                  </w:pPr>
                  <w:r w:rsidRPr="000F28BA">
                    <w:rPr>
                      <w:rFonts w:ascii="Calibri" w:hAnsi="Calibri" w:cs="Calibri"/>
                      <w:color w:val="000000"/>
                      <w:sz w:val="18"/>
                      <w:szCs w:val="18"/>
                    </w:rPr>
                    <w:t>&lt;30 days</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5F1C9922" w14:textId="77777777" w:rsidR="000F28BA" w:rsidRPr="000F28BA" w:rsidRDefault="000F28BA" w:rsidP="000F28BA">
                  <w:pPr>
                    <w:rPr>
                      <w:rFonts w:ascii="Calibri" w:hAnsi="Calibri" w:cs="Calibri"/>
                      <w:color w:val="000000"/>
                      <w:sz w:val="18"/>
                      <w:szCs w:val="18"/>
                    </w:rPr>
                  </w:pPr>
                  <w:r w:rsidRPr="000F28BA">
                    <w:rPr>
                      <w:rFonts w:ascii="Calibri" w:hAnsi="Calibri" w:cs="Calibri"/>
                      <w:color w:val="000000"/>
                      <w:sz w:val="18"/>
                      <w:szCs w:val="18"/>
                    </w:rPr>
                    <w:t>31-60</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672B8B3C" w14:textId="77777777" w:rsidR="000F28BA" w:rsidRPr="000F28BA" w:rsidRDefault="000F28BA" w:rsidP="000F28BA">
                  <w:pPr>
                    <w:rPr>
                      <w:rFonts w:ascii="Calibri" w:hAnsi="Calibri" w:cs="Calibri"/>
                      <w:color w:val="000000"/>
                      <w:sz w:val="18"/>
                      <w:szCs w:val="18"/>
                    </w:rPr>
                  </w:pPr>
                  <w:r w:rsidRPr="000F28BA">
                    <w:rPr>
                      <w:rFonts w:ascii="Calibri" w:hAnsi="Calibri" w:cs="Calibri"/>
                      <w:color w:val="000000"/>
                      <w:sz w:val="18"/>
                      <w:szCs w:val="18"/>
                    </w:rPr>
                    <w:t>61-90</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0C896D7E" w14:textId="77777777" w:rsidR="000F28BA" w:rsidRPr="000F28BA" w:rsidRDefault="000F28BA" w:rsidP="000F28BA">
                  <w:pPr>
                    <w:rPr>
                      <w:rFonts w:ascii="Calibri" w:hAnsi="Calibri" w:cs="Calibri"/>
                      <w:color w:val="000000"/>
                      <w:sz w:val="18"/>
                      <w:szCs w:val="18"/>
                    </w:rPr>
                  </w:pPr>
                  <w:r w:rsidRPr="000F28BA">
                    <w:rPr>
                      <w:rFonts w:ascii="Calibri" w:hAnsi="Calibri" w:cs="Calibri"/>
                      <w:color w:val="000000"/>
                      <w:sz w:val="18"/>
                      <w:szCs w:val="18"/>
                    </w:rPr>
                    <w:t>91-180</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0F3A3572" w14:textId="77777777" w:rsidR="000F28BA" w:rsidRPr="000F28BA" w:rsidRDefault="000F28BA" w:rsidP="000F28BA">
                  <w:pPr>
                    <w:rPr>
                      <w:rFonts w:ascii="Calibri" w:hAnsi="Calibri" w:cs="Calibri"/>
                      <w:color w:val="000000"/>
                      <w:sz w:val="18"/>
                      <w:szCs w:val="18"/>
                    </w:rPr>
                  </w:pPr>
                  <w:r w:rsidRPr="000F28BA">
                    <w:rPr>
                      <w:rFonts w:ascii="Calibri" w:hAnsi="Calibri" w:cs="Calibri"/>
                      <w:color w:val="000000"/>
                      <w:sz w:val="18"/>
                      <w:szCs w:val="18"/>
                    </w:rPr>
                    <w:t>181-365</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47211282" w14:textId="77777777" w:rsidR="000F28BA" w:rsidRPr="000F28BA" w:rsidRDefault="000F28BA" w:rsidP="000F28BA">
                  <w:pPr>
                    <w:rPr>
                      <w:rFonts w:ascii="Calibri" w:hAnsi="Calibri" w:cs="Calibri"/>
                      <w:color w:val="000000"/>
                      <w:sz w:val="18"/>
                      <w:szCs w:val="18"/>
                    </w:rPr>
                  </w:pPr>
                  <w:r w:rsidRPr="000F28BA">
                    <w:rPr>
                      <w:rFonts w:ascii="Calibri" w:hAnsi="Calibri" w:cs="Calibri"/>
                      <w:color w:val="000000"/>
                      <w:sz w:val="18"/>
                      <w:szCs w:val="18"/>
                    </w:rPr>
                    <w:t>&gt;365</w:t>
                  </w:r>
                </w:p>
              </w:tc>
              <w:tc>
                <w:tcPr>
                  <w:tcW w:w="1195" w:type="dxa"/>
                  <w:vMerge/>
                  <w:tcBorders>
                    <w:top w:val="single" w:sz="4" w:space="0" w:color="auto"/>
                    <w:left w:val="single" w:sz="4" w:space="0" w:color="auto"/>
                    <w:bottom w:val="single" w:sz="4" w:space="0" w:color="auto"/>
                    <w:right w:val="single" w:sz="4" w:space="0" w:color="auto"/>
                  </w:tcBorders>
                  <w:vAlign w:val="center"/>
                  <w:hideMark/>
                </w:tcPr>
                <w:p w14:paraId="5ACFD2A0" w14:textId="77777777" w:rsidR="000F28BA" w:rsidRPr="000F28BA" w:rsidRDefault="000F28BA" w:rsidP="000F28BA">
                  <w:pPr>
                    <w:rPr>
                      <w:rFonts w:ascii="Calibri" w:hAnsi="Calibri" w:cs="Calibri"/>
                      <w:b/>
                      <w:bCs/>
                      <w:color w:val="000000"/>
                      <w:sz w:val="18"/>
                      <w:szCs w:val="18"/>
                    </w:rPr>
                  </w:pPr>
                </w:p>
              </w:tc>
              <w:tc>
                <w:tcPr>
                  <w:tcW w:w="1030" w:type="dxa"/>
                  <w:vMerge/>
                  <w:tcBorders>
                    <w:top w:val="single" w:sz="4" w:space="0" w:color="auto"/>
                    <w:left w:val="single" w:sz="4" w:space="0" w:color="auto"/>
                    <w:bottom w:val="single" w:sz="4" w:space="0" w:color="auto"/>
                    <w:right w:val="single" w:sz="4" w:space="0" w:color="auto"/>
                  </w:tcBorders>
                  <w:vAlign w:val="center"/>
                  <w:hideMark/>
                </w:tcPr>
                <w:p w14:paraId="71D03650" w14:textId="77777777" w:rsidR="000F28BA" w:rsidRPr="000F28BA" w:rsidRDefault="000F28BA" w:rsidP="000F28BA">
                  <w:pPr>
                    <w:rPr>
                      <w:rFonts w:ascii="Calibri" w:hAnsi="Calibri" w:cs="Calibri"/>
                      <w:b/>
                      <w:bCs/>
                      <w:color w:val="000000"/>
                      <w:sz w:val="18"/>
                      <w:szCs w:val="18"/>
                    </w:rPr>
                  </w:pPr>
                </w:p>
              </w:tc>
            </w:tr>
            <w:tr w:rsidR="000F28BA" w:rsidRPr="000F28BA" w14:paraId="2BA06C46" w14:textId="77777777" w:rsidTr="000F28B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0608DD5A" w14:textId="77777777" w:rsidR="000F28BA" w:rsidRPr="000F28BA" w:rsidRDefault="000F28BA" w:rsidP="000F28BA">
                  <w:pPr>
                    <w:rPr>
                      <w:rFonts w:ascii="Calibri" w:hAnsi="Calibri" w:cs="Calibri"/>
                      <w:b/>
                      <w:bCs/>
                      <w:color w:val="000000"/>
                      <w:sz w:val="18"/>
                      <w:szCs w:val="18"/>
                    </w:rPr>
                  </w:pPr>
                  <w:r w:rsidRPr="000F28BA">
                    <w:rPr>
                      <w:rFonts w:ascii="Calibri" w:hAnsi="Calibri" w:cs="Calibri"/>
                      <w:b/>
                      <w:bCs/>
                      <w:color w:val="000000"/>
                      <w:sz w:val="18"/>
                      <w:szCs w:val="18"/>
                    </w:rPr>
                    <w:t>31.12.2023</w:t>
                  </w:r>
                </w:p>
              </w:tc>
              <w:tc>
                <w:tcPr>
                  <w:tcW w:w="1160" w:type="dxa"/>
                  <w:tcBorders>
                    <w:top w:val="nil"/>
                    <w:left w:val="nil"/>
                    <w:bottom w:val="single" w:sz="4" w:space="0" w:color="auto"/>
                    <w:right w:val="single" w:sz="4" w:space="0" w:color="auto"/>
                  </w:tcBorders>
                  <w:shd w:val="clear" w:color="auto" w:fill="auto"/>
                  <w:vAlign w:val="center"/>
                  <w:hideMark/>
                </w:tcPr>
                <w:p w14:paraId="1D207B32"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409 330</w:t>
                  </w:r>
                </w:p>
              </w:tc>
              <w:tc>
                <w:tcPr>
                  <w:tcW w:w="883" w:type="dxa"/>
                  <w:tcBorders>
                    <w:top w:val="nil"/>
                    <w:left w:val="nil"/>
                    <w:bottom w:val="single" w:sz="4" w:space="0" w:color="auto"/>
                    <w:right w:val="single" w:sz="4" w:space="0" w:color="auto"/>
                  </w:tcBorders>
                  <w:shd w:val="clear" w:color="auto" w:fill="auto"/>
                  <w:vAlign w:val="center"/>
                  <w:hideMark/>
                </w:tcPr>
                <w:p w14:paraId="0222FB2B"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71 990</w:t>
                  </w:r>
                </w:p>
              </w:tc>
              <w:tc>
                <w:tcPr>
                  <w:tcW w:w="883" w:type="dxa"/>
                  <w:tcBorders>
                    <w:top w:val="nil"/>
                    <w:left w:val="nil"/>
                    <w:bottom w:val="single" w:sz="4" w:space="0" w:color="auto"/>
                    <w:right w:val="single" w:sz="4" w:space="0" w:color="auto"/>
                  </w:tcBorders>
                  <w:shd w:val="clear" w:color="auto" w:fill="auto"/>
                  <w:vAlign w:val="center"/>
                  <w:hideMark/>
                </w:tcPr>
                <w:p w14:paraId="130A5779"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0ECA6EF1"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070EBD97"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3 116</w:t>
                  </w:r>
                </w:p>
              </w:tc>
              <w:tc>
                <w:tcPr>
                  <w:tcW w:w="883" w:type="dxa"/>
                  <w:tcBorders>
                    <w:top w:val="nil"/>
                    <w:left w:val="nil"/>
                    <w:bottom w:val="single" w:sz="4" w:space="0" w:color="auto"/>
                    <w:right w:val="single" w:sz="4" w:space="0" w:color="auto"/>
                  </w:tcBorders>
                  <w:shd w:val="clear" w:color="auto" w:fill="auto"/>
                  <w:vAlign w:val="center"/>
                  <w:hideMark/>
                </w:tcPr>
                <w:p w14:paraId="5B8BF982"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23EFDE26"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25 137</w:t>
                  </w:r>
                </w:p>
              </w:tc>
              <w:tc>
                <w:tcPr>
                  <w:tcW w:w="1195" w:type="dxa"/>
                  <w:tcBorders>
                    <w:top w:val="nil"/>
                    <w:left w:val="nil"/>
                    <w:bottom w:val="single" w:sz="4" w:space="0" w:color="auto"/>
                    <w:right w:val="single" w:sz="4" w:space="0" w:color="auto"/>
                  </w:tcBorders>
                  <w:shd w:val="clear" w:color="auto" w:fill="auto"/>
                  <w:vAlign w:val="center"/>
                  <w:hideMark/>
                </w:tcPr>
                <w:p w14:paraId="442A1D30"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25 307</w:t>
                  </w:r>
                </w:p>
              </w:tc>
              <w:tc>
                <w:tcPr>
                  <w:tcW w:w="1030" w:type="dxa"/>
                  <w:tcBorders>
                    <w:top w:val="nil"/>
                    <w:left w:val="nil"/>
                    <w:bottom w:val="single" w:sz="4" w:space="0" w:color="auto"/>
                    <w:right w:val="single" w:sz="4" w:space="0" w:color="auto"/>
                  </w:tcBorders>
                  <w:shd w:val="clear" w:color="auto" w:fill="auto"/>
                  <w:vAlign w:val="center"/>
                  <w:hideMark/>
                </w:tcPr>
                <w:p w14:paraId="1EAE9BEC"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484 266</w:t>
                  </w:r>
                </w:p>
              </w:tc>
            </w:tr>
            <w:tr w:rsidR="000F28BA" w:rsidRPr="000F28BA" w14:paraId="7FB0A11A" w14:textId="77777777" w:rsidTr="000F28B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44669478" w14:textId="77777777" w:rsidR="000F28BA" w:rsidRPr="000F28BA" w:rsidRDefault="000F28BA" w:rsidP="000F28BA">
                  <w:pPr>
                    <w:jc w:val="right"/>
                    <w:rPr>
                      <w:rFonts w:ascii="Calibri" w:hAnsi="Calibri" w:cs="Calibri"/>
                      <w:color w:val="000000"/>
                      <w:sz w:val="18"/>
                      <w:szCs w:val="18"/>
                    </w:rPr>
                  </w:pPr>
                  <w:r w:rsidRPr="000F28BA">
                    <w:rPr>
                      <w:rFonts w:ascii="Calibri" w:hAnsi="Calibri" w:cs="Calibri"/>
                      <w:color w:val="000000"/>
                      <w:sz w:val="18"/>
                      <w:szCs w:val="18"/>
                    </w:rPr>
                    <w:t>(%)</w:t>
                  </w:r>
                </w:p>
              </w:tc>
              <w:tc>
                <w:tcPr>
                  <w:tcW w:w="1160" w:type="dxa"/>
                  <w:tcBorders>
                    <w:top w:val="nil"/>
                    <w:left w:val="nil"/>
                    <w:bottom w:val="single" w:sz="4" w:space="0" w:color="auto"/>
                    <w:right w:val="single" w:sz="4" w:space="0" w:color="auto"/>
                  </w:tcBorders>
                  <w:shd w:val="clear" w:color="auto" w:fill="auto"/>
                  <w:vAlign w:val="center"/>
                  <w:hideMark/>
                </w:tcPr>
                <w:p w14:paraId="2E5A8DAC"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80,30%</w:t>
                  </w:r>
                </w:p>
              </w:tc>
              <w:tc>
                <w:tcPr>
                  <w:tcW w:w="883" w:type="dxa"/>
                  <w:tcBorders>
                    <w:top w:val="nil"/>
                    <w:left w:val="nil"/>
                    <w:bottom w:val="single" w:sz="4" w:space="0" w:color="auto"/>
                    <w:right w:val="single" w:sz="4" w:space="0" w:color="auto"/>
                  </w:tcBorders>
                  <w:shd w:val="clear" w:color="auto" w:fill="auto"/>
                  <w:vAlign w:val="center"/>
                  <w:hideMark/>
                </w:tcPr>
                <w:p w14:paraId="62F9BD4C"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14,10%</w:t>
                  </w:r>
                </w:p>
              </w:tc>
              <w:tc>
                <w:tcPr>
                  <w:tcW w:w="883" w:type="dxa"/>
                  <w:tcBorders>
                    <w:top w:val="nil"/>
                    <w:left w:val="nil"/>
                    <w:bottom w:val="single" w:sz="4" w:space="0" w:color="auto"/>
                    <w:right w:val="single" w:sz="4" w:space="0" w:color="auto"/>
                  </w:tcBorders>
                  <w:shd w:val="clear" w:color="auto" w:fill="auto"/>
                  <w:vAlign w:val="center"/>
                  <w:hideMark/>
                </w:tcPr>
                <w:p w14:paraId="21E00732"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0,00%</w:t>
                  </w:r>
                </w:p>
              </w:tc>
              <w:tc>
                <w:tcPr>
                  <w:tcW w:w="883" w:type="dxa"/>
                  <w:tcBorders>
                    <w:top w:val="nil"/>
                    <w:left w:val="nil"/>
                    <w:bottom w:val="single" w:sz="4" w:space="0" w:color="auto"/>
                    <w:right w:val="single" w:sz="4" w:space="0" w:color="auto"/>
                  </w:tcBorders>
                  <w:shd w:val="clear" w:color="auto" w:fill="auto"/>
                  <w:vAlign w:val="center"/>
                  <w:hideMark/>
                </w:tcPr>
                <w:p w14:paraId="2A80C2EF"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0,00%</w:t>
                  </w:r>
                </w:p>
              </w:tc>
              <w:tc>
                <w:tcPr>
                  <w:tcW w:w="883" w:type="dxa"/>
                  <w:tcBorders>
                    <w:top w:val="nil"/>
                    <w:left w:val="nil"/>
                    <w:bottom w:val="single" w:sz="4" w:space="0" w:color="auto"/>
                    <w:right w:val="single" w:sz="4" w:space="0" w:color="auto"/>
                  </w:tcBorders>
                  <w:shd w:val="clear" w:color="auto" w:fill="auto"/>
                  <w:vAlign w:val="center"/>
                  <w:hideMark/>
                </w:tcPr>
                <w:p w14:paraId="28C32663"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0,60%</w:t>
                  </w:r>
                </w:p>
              </w:tc>
              <w:tc>
                <w:tcPr>
                  <w:tcW w:w="883" w:type="dxa"/>
                  <w:tcBorders>
                    <w:top w:val="nil"/>
                    <w:left w:val="nil"/>
                    <w:bottom w:val="single" w:sz="4" w:space="0" w:color="auto"/>
                    <w:right w:val="single" w:sz="4" w:space="0" w:color="auto"/>
                  </w:tcBorders>
                  <w:shd w:val="clear" w:color="auto" w:fill="auto"/>
                  <w:vAlign w:val="center"/>
                  <w:hideMark/>
                </w:tcPr>
                <w:p w14:paraId="61A47C74"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0,00%</w:t>
                  </w:r>
                </w:p>
              </w:tc>
              <w:tc>
                <w:tcPr>
                  <w:tcW w:w="883" w:type="dxa"/>
                  <w:tcBorders>
                    <w:top w:val="nil"/>
                    <w:left w:val="nil"/>
                    <w:bottom w:val="single" w:sz="4" w:space="0" w:color="auto"/>
                    <w:right w:val="single" w:sz="4" w:space="0" w:color="auto"/>
                  </w:tcBorders>
                  <w:shd w:val="clear" w:color="auto" w:fill="auto"/>
                  <w:vAlign w:val="center"/>
                  <w:hideMark/>
                </w:tcPr>
                <w:p w14:paraId="7E475BD5"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4,90%</w:t>
                  </w:r>
                </w:p>
              </w:tc>
              <w:tc>
                <w:tcPr>
                  <w:tcW w:w="1195" w:type="dxa"/>
                  <w:tcBorders>
                    <w:top w:val="nil"/>
                    <w:left w:val="nil"/>
                    <w:bottom w:val="single" w:sz="4" w:space="0" w:color="auto"/>
                    <w:right w:val="single" w:sz="4" w:space="0" w:color="auto"/>
                  </w:tcBorders>
                  <w:shd w:val="clear" w:color="auto" w:fill="auto"/>
                  <w:vAlign w:val="center"/>
                  <w:hideMark/>
                </w:tcPr>
                <w:p w14:paraId="129AF796"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5,00%</w:t>
                  </w:r>
                </w:p>
              </w:tc>
              <w:tc>
                <w:tcPr>
                  <w:tcW w:w="1030" w:type="dxa"/>
                  <w:tcBorders>
                    <w:top w:val="nil"/>
                    <w:left w:val="nil"/>
                    <w:bottom w:val="single" w:sz="4" w:space="0" w:color="auto"/>
                    <w:right w:val="single" w:sz="4" w:space="0" w:color="auto"/>
                  </w:tcBorders>
                  <w:shd w:val="clear" w:color="auto" w:fill="auto"/>
                  <w:vAlign w:val="center"/>
                  <w:hideMark/>
                </w:tcPr>
                <w:p w14:paraId="5E18FD0C"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95,00%</w:t>
                  </w:r>
                </w:p>
              </w:tc>
            </w:tr>
            <w:tr w:rsidR="000F28BA" w:rsidRPr="000F28BA" w14:paraId="2E1FFFEB" w14:textId="77777777" w:rsidTr="000F28B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36216A4B" w14:textId="77777777" w:rsidR="000F28BA" w:rsidRPr="000F28BA" w:rsidRDefault="000F28BA" w:rsidP="000F28BA">
                  <w:pPr>
                    <w:rPr>
                      <w:rFonts w:ascii="Calibri" w:hAnsi="Calibri" w:cs="Calibri"/>
                      <w:b/>
                      <w:bCs/>
                      <w:color w:val="000000"/>
                      <w:sz w:val="18"/>
                      <w:szCs w:val="18"/>
                    </w:rPr>
                  </w:pPr>
                  <w:r w:rsidRPr="000F28BA">
                    <w:rPr>
                      <w:rFonts w:ascii="Calibri" w:hAnsi="Calibri" w:cs="Calibri"/>
                      <w:b/>
                      <w:bCs/>
                      <w:color w:val="000000"/>
                      <w:sz w:val="18"/>
                      <w:szCs w:val="18"/>
                    </w:rPr>
                    <w:t>31.12.2022</w:t>
                  </w:r>
                </w:p>
              </w:tc>
              <w:tc>
                <w:tcPr>
                  <w:tcW w:w="1160" w:type="dxa"/>
                  <w:tcBorders>
                    <w:top w:val="nil"/>
                    <w:left w:val="nil"/>
                    <w:bottom w:val="single" w:sz="4" w:space="0" w:color="auto"/>
                    <w:right w:val="single" w:sz="4" w:space="0" w:color="auto"/>
                  </w:tcBorders>
                  <w:shd w:val="clear" w:color="auto" w:fill="auto"/>
                  <w:vAlign w:val="center"/>
                  <w:hideMark/>
                </w:tcPr>
                <w:p w14:paraId="3AF77EDC"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476 733</w:t>
                  </w:r>
                </w:p>
              </w:tc>
              <w:tc>
                <w:tcPr>
                  <w:tcW w:w="883" w:type="dxa"/>
                  <w:tcBorders>
                    <w:top w:val="nil"/>
                    <w:left w:val="nil"/>
                    <w:bottom w:val="single" w:sz="4" w:space="0" w:color="auto"/>
                    <w:right w:val="single" w:sz="4" w:space="0" w:color="auto"/>
                  </w:tcBorders>
                  <w:shd w:val="clear" w:color="auto" w:fill="auto"/>
                  <w:vAlign w:val="center"/>
                  <w:hideMark/>
                </w:tcPr>
                <w:p w14:paraId="43CA9FEE"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49 473</w:t>
                  </w:r>
                </w:p>
              </w:tc>
              <w:tc>
                <w:tcPr>
                  <w:tcW w:w="883" w:type="dxa"/>
                  <w:tcBorders>
                    <w:top w:val="nil"/>
                    <w:left w:val="nil"/>
                    <w:bottom w:val="single" w:sz="4" w:space="0" w:color="auto"/>
                    <w:right w:val="single" w:sz="4" w:space="0" w:color="auto"/>
                  </w:tcBorders>
                  <w:shd w:val="clear" w:color="auto" w:fill="auto"/>
                  <w:vAlign w:val="center"/>
                  <w:hideMark/>
                </w:tcPr>
                <w:p w14:paraId="4F66376A"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1 077</w:t>
                  </w:r>
                </w:p>
              </w:tc>
              <w:tc>
                <w:tcPr>
                  <w:tcW w:w="883" w:type="dxa"/>
                  <w:tcBorders>
                    <w:top w:val="nil"/>
                    <w:left w:val="nil"/>
                    <w:bottom w:val="single" w:sz="4" w:space="0" w:color="auto"/>
                    <w:right w:val="single" w:sz="4" w:space="0" w:color="auto"/>
                  </w:tcBorders>
                  <w:shd w:val="clear" w:color="auto" w:fill="auto"/>
                  <w:vAlign w:val="center"/>
                  <w:hideMark/>
                </w:tcPr>
                <w:p w14:paraId="1F68C210"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10E9B083"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70255D1D"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61 475</w:t>
                  </w:r>
                </w:p>
              </w:tc>
              <w:tc>
                <w:tcPr>
                  <w:tcW w:w="883" w:type="dxa"/>
                  <w:tcBorders>
                    <w:top w:val="nil"/>
                    <w:left w:val="nil"/>
                    <w:bottom w:val="single" w:sz="4" w:space="0" w:color="auto"/>
                    <w:right w:val="single" w:sz="4" w:space="0" w:color="auto"/>
                  </w:tcBorders>
                  <w:shd w:val="clear" w:color="auto" w:fill="auto"/>
                  <w:vAlign w:val="center"/>
                  <w:hideMark/>
                </w:tcPr>
                <w:p w14:paraId="64722555"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30 707</w:t>
                  </w:r>
                </w:p>
              </w:tc>
              <w:tc>
                <w:tcPr>
                  <w:tcW w:w="1195" w:type="dxa"/>
                  <w:tcBorders>
                    <w:top w:val="nil"/>
                    <w:left w:val="nil"/>
                    <w:bottom w:val="single" w:sz="4" w:space="0" w:color="auto"/>
                    <w:right w:val="single" w:sz="4" w:space="0" w:color="auto"/>
                  </w:tcBorders>
                  <w:shd w:val="clear" w:color="auto" w:fill="auto"/>
                  <w:vAlign w:val="center"/>
                  <w:hideMark/>
                </w:tcPr>
                <w:p w14:paraId="0A0F1B34"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30 707</w:t>
                  </w:r>
                </w:p>
              </w:tc>
              <w:tc>
                <w:tcPr>
                  <w:tcW w:w="1030" w:type="dxa"/>
                  <w:tcBorders>
                    <w:top w:val="nil"/>
                    <w:left w:val="nil"/>
                    <w:bottom w:val="single" w:sz="4" w:space="0" w:color="auto"/>
                    <w:right w:val="single" w:sz="4" w:space="0" w:color="auto"/>
                  </w:tcBorders>
                  <w:shd w:val="clear" w:color="auto" w:fill="auto"/>
                  <w:vAlign w:val="center"/>
                  <w:hideMark/>
                </w:tcPr>
                <w:p w14:paraId="00934DE5" w14:textId="77777777" w:rsidR="000F28BA" w:rsidRPr="000F28BA" w:rsidRDefault="000F28BA" w:rsidP="000F28BA">
                  <w:pPr>
                    <w:jc w:val="center"/>
                    <w:rPr>
                      <w:rFonts w:ascii="Calibri" w:hAnsi="Calibri" w:cs="Calibri"/>
                      <w:b/>
                      <w:bCs/>
                      <w:color w:val="000000"/>
                      <w:sz w:val="18"/>
                      <w:szCs w:val="18"/>
                    </w:rPr>
                  </w:pPr>
                  <w:r w:rsidRPr="000F28BA">
                    <w:rPr>
                      <w:rFonts w:ascii="Calibri" w:hAnsi="Calibri" w:cs="Calibri"/>
                      <w:b/>
                      <w:bCs/>
                      <w:color w:val="000000"/>
                      <w:sz w:val="18"/>
                      <w:szCs w:val="18"/>
                    </w:rPr>
                    <w:t>588 758</w:t>
                  </w:r>
                </w:p>
              </w:tc>
            </w:tr>
            <w:tr w:rsidR="000F28BA" w:rsidRPr="000F28BA" w14:paraId="6CC600A2" w14:textId="77777777" w:rsidTr="000F28B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1CA996EB" w14:textId="77777777" w:rsidR="000F28BA" w:rsidRPr="000F28BA" w:rsidRDefault="000F28BA" w:rsidP="000F28BA">
                  <w:pPr>
                    <w:jc w:val="right"/>
                    <w:rPr>
                      <w:rFonts w:ascii="Calibri" w:hAnsi="Calibri" w:cs="Calibri"/>
                      <w:color w:val="000000"/>
                      <w:sz w:val="18"/>
                      <w:szCs w:val="18"/>
                    </w:rPr>
                  </w:pPr>
                  <w:r w:rsidRPr="000F28BA">
                    <w:rPr>
                      <w:rFonts w:ascii="Calibri" w:hAnsi="Calibri" w:cs="Calibri"/>
                      <w:color w:val="000000"/>
                      <w:sz w:val="18"/>
                      <w:szCs w:val="18"/>
                    </w:rPr>
                    <w:t>(%)</w:t>
                  </w:r>
                </w:p>
              </w:tc>
              <w:tc>
                <w:tcPr>
                  <w:tcW w:w="1160" w:type="dxa"/>
                  <w:tcBorders>
                    <w:top w:val="nil"/>
                    <w:left w:val="nil"/>
                    <w:bottom w:val="single" w:sz="4" w:space="0" w:color="auto"/>
                    <w:right w:val="single" w:sz="4" w:space="0" w:color="auto"/>
                  </w:tcBorders>
                  <w:shd w:val="clear" w:color="auto" w:fill="auto"/>
                  <w:vAlign w:val="center"/>
                  <w:hideMark/>
                </w:tcPr>
                <w:p w14:paraId="310F6B5C"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77,00%</w:t>
                  </w:r>
                </w:p>
              </w:tc>
              <w:tc>
                <w:tcPr>
                  <w:tcW w:w="883" w:type="dxa"/>
                  <w:tcBorders>
                    <w:top w:val="nil"/>
                    <w:left w:val="nil"/>
                    <w:bottom w:val="single" w:sz="4" w:space="0" w:color="auto"/>
                    <w:right w:val="single" w:sz="4" w:space="0" w:color="auto"/>
                  </w:tcBorders>
                  <w:shd w:val="clear" w:color="auto" w:fill="auto"/>
                  <w:vAlign w:val="center"/>
                  <w:hideMark/>
                </w:tcPr>
                <w:p w14:paraId="37966A2C"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8,00%</w:t>
                  </w:r>
                </w:p>
              </w:tc>
              <w:tc>
                <w:tcPr>
                  <w:tcW w:w="883" w:type="dxa"/>
                  <w:tcBorders>
                    <w:top w:val="nil"/>
                    <w:left w:val="nil"/>
                    <w:bottom w:val="single" w:sz="4" w:space="0" w:color="auto"/>
                    <w:right w:val="single" w:sz="4" w:space="0" w:color="auto"/>
                  </w:tcBorders>
                  <w:shd w:val="clear" w:color="auto" w:fill="auto"/>
                  <w:vAlign w:val="center"/>
                  <w:hideMark/>
                </w:tcPr>
                <w:p w14:paraId="2073EF98"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0,20%</w:t>
                  </w:r>
                </w:p>
              </w:tc>
              <w:tc>
                <w:tcPr>
                  <w:tcW w:w="883" w:type="dxa"/>
                  <w:tcBorders>
                    <w:top w:val="nil"/>
                    <w:left w:val="nil"/>
                    <w:bottom w:val="single" w:sz="4" w:space="0" w:color="auto"/>
                    <w:right w:val="single" w:sz="4" w:space="0" w:color="auto"/>
                  </w:tcBorders>
                  <w:shd w:val="clear" w:color="auto" w:fill="auto"/>
                  <w:vAlign w:val="center"/>
                  <w:hideMark/>
                </w:tcPr>
                <w:p w14:paraId="1ABB4EAC"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0,00%</w:t>
                  </w:r>
                </w:p>
              </w:tc>
              <w:tc>
                <w:tcPr>
                  <w:tcW w:w="883" w:type="dxa"/>
                  <w:tcBorders>
                    <w:top w:val="nil"/>
                    <w:left w:val="nil"/>
                    <w:bottom w:val="single" w:sz="4" w:space="0" w:color="auto"/>
                    <w:right w:val="single" w:sz="4" w:space="0" w:color="auto"/>
                  </w:tcBorders>
                  <w:shd w:val="clear" w:color="auto" w:fill="auto"/>
                  <w:vAlign w:val="center"/>
                  <w:hideMark/>
                </w:tcPr>
                <w:p w14:paraId="1EC5D5A8"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0,00%</w:t>
                  </w:r>
                </w:p>
              </w:tc>
              <w:tc>
                <w:tcPr>
                  <w:tcW w:w="883" w:type="dxa"/>
                  <w:tcBorders>
                    <w:top w:val="nil"/>
                    <w:left w:val="nil"/>
                    <w:bottom w:val="single" w:sz="4" w:space="0" w:color="auto"/>
                    <w:right w:val="single" w:sz="4" w:space="0" w:color="auto"/>
                  </w:tcBorders>
                  <w:shd w:val="clear" w:color="auto" w:fill="auto"/>
                  <w:vAlign w:val="center"/>
                  <w:hideMark/>
                </w:tcPr>
                <w:p w14:paraId="26A25836"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9,90%</w:t>
                  </w:r>
                </w:p>
              </w:tc>
              <w:tc>
                <w:tcPr>
                  <w:tcW w:w="883" w:type="dxa"/>
                  <w:tcBorders>
                    <w:top w:val="nil"/>
                    <w:left w:val="nil"/>
                    <w:bottom w:val="single" w:sz="4" w:space="0" w:color="auto"/>
                    <w:right w:val="single" w:sz="4" w:space="0" w:color="auto"/>
                  </w:tcBorders>
                  <w:shd w:val="clear" w:color="auto" w:fill="auto"/>
                  <w:vAlign w:val="center"/>
                  <w:hideMark/>
                </w:tcPr>
                <w:p w14:paraId="3D1EE2B7"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5,00%</w:t>
                  </w:r>
                </w:p>
              </w:tc>
              <w:tc>
                <w:tcPr>
                  <w:tcW w:w="1195" w:type="dxa"/>
                  <w:tcBorders>
                    <w:top w:val="nil"/>
                    <w:left w:val="nil"/>
                    <w:bottom w:val="single" w:sz="4" w:space="0" w:color="auto"/>
                    <w:right w:val="single" w:sz="4" w:space="0" w:color="auto"/>
                  </w:tcBorders>
                  <w:shd w:val="clear" w:color="auto" w:fill="auto"/>
                  <w:vAlign w:val="center"/>
                  <w:hideMark/>
                </w:tcPr>
                <w:p w14:paraId="64EC4AD0"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5,00%</w:t>
                  </w:r>
                </w:p>
              </w:tc>
              <w:tc>
                <w:tcPr>
                  <w:tcW w:w="1030" w:type="dxa"/>
                  <w:tcBorders>
                    <w:top w:val="nil"/>
                    <w:left w:val="nil"/>
                    <w:bottom w:val="single" w:sz="4" w:space="0" w:color="auto"/>
                    <w:right w:val="single" w:sz="4" w:space="0" w:color="auto"/>
                  </w:tcBorders>
                  <w:shd w:val="clear" w:color="auto" w:fill="auto"/>
                  <w:vAlign w:val="center"/>
                  <w:hideMark/>
                </w:tcPr>
                <w:p w14:paraId="57FF0094" w14:textId="77777777" w:rsidR="000F28BA" w:rsidRPr="000F28BA" w:rsidRDefault="000F28BA" w:rsidP="000F28BA">
                  <w:pPr>
                    <w:jc w:val="center"/>
                    <w:rPr>
                      <w:rFonts w:ascii="Calibri" w:hAnsi="Calibri" w:cs="Calibri"/>
                      <w:color w:val="000000"/>
                      <w:sz w:val="18"/>
                      <w:szCs w:val="18"/>
                    </w:rPr>
                  </w:pPr>
                  <w:r w:rsidRPr="000F28BA">
                    <w:rPr>
                      <w:rFonts w:ascii="Calibri" w:hAnsi="Calibri" w:cs="Calibri"/>
                      <w:color w:val="000000"/>
                      <w:sz w:val="18"/>
                      <w:szCs w:val="18"/>
                    </w:rPr>
                    <w:t>95,00%</w:t>
                  </w:r>
                </w:p>
              </w:tc>
            </w:tr>
          </w:tbl>
          <w:p w14:paraId="0E94F28A" w14:textId="77777777" w:rsidR="00CC5565" w:rsidRDefault="00CC5565"/>
          <w:p w14:paraId="6A85144B" w14:textId="2B38D702" w:rsidR="00CC5565" w:rsidRDefault="00CC5565"/>
        </w:tc>
      </w:tr>
      <w:tr w:rsidR="00BA2335" w:rsidRPr="0052584F" w14:paraId="68276F9A" w14:textId="77777777" w:rsidTr="001B4094">
        <w:tblPrEx>
          <w:tblCellMar>
            <w:left w:w="70" w:type="dxa"/>
            <w:right w:w="70" w:type="dxa"/>
          </w:tblCellMar>
        </w:tblPrEx>
        <w:trPr>
          <w:trHeight w:val="773"/>
        </w:trPr>
        <w:tc>
          <w:tcPr>
            <w:tcW w:w="10377" w:type="dxa"/>
            <w:gridSpan w:val="2"/>
            <w:shd w:val="clear" w:color="auto" w:fill="auto"/>
          </w:tcPr>
          <w:p w14:paraId="228A5638" w14:textId="77777777" w:rsidR="002D167B" w:rsidRDefault="00000000">
            <w:r>
              <w:lastRenderedPageBreak/>
              <w:t>Suppliers:</w:t>
            </w:r>
            <w:r>
              <w:br/>
              <w:t xml:space="preserve">Supplier portfolio: </w:t>
            </w:r>
            <w:r w:rsidR="007523BA">
              <w:t>not diversified</w:t>
            </w:r>
          </w:p>
          <w:p w14:paraId="45565D87" w14:textId="77777777" w:rsidR="002D167B" w:rsidRDefault="002D167B"/>
          <w:tbl>
            <w:tblPr>
              <w:tblW w:w="4383" w:type="dxa"/>
              <w:tblLayout w:type="fixed"/>
              <w:tblLook w:val="04A0" w:firstRow="1" w:lastRow="0" w:firstColumn="1" w:lastColumn="0" w:noHBand="0" w:noVBand="1"/>
            </w:tblPr>
            <w:tblGrid>
              <w:gridCol w:w="2708"/>
              <w:gridCol w:w="933"/>
              <w:gridCol w:w="742"/>
            </w:tblGrid>
            <w:tr w:rsidR="002D167B" w14:paraId="0A8C7134" w14:textId="77777777" w:rsidTr="002D167B">
              <w:trPr>
                <w:trHeight w:val="59"/>
              </w:trPr>
              <w:tc>
                <w:tcPr>
                  <w:tcW w:w="2708" w:type="dxa"/>
                  <w:tcBorders>
                    <w:top w:val="nil"/>
                    <w:left w:val="nil"/>
                    <w:bottom w:val="nil"/>
                    <w:right w:val="nil"/>
                  </w:tcBorders>
                  <w:shd w:val="clear" w:color="000000" w:fill="DDEBF7"/>
                  <w:noWrap/>
                  <w:vAlign w:val="bottom"/>
                  <w:hideMark/>
                </w:tcPr>
                <w:p w14:paraId="057EE3AC" w14:textId="77777777" w:rsidR="002D167B" w:rsidRPr="002D167B" w:rsidRDefault="002D167B" w:rsidP="002D167B">
                  <w:pPr>
                    <w:rPr>
                      <w:rFonts w:ascii="Calibri" w:hAnsi="Calibri" w:cs="Calibri"/>
                      <w:color w:val="000000"/>
                      <w:sz w:val="16"/>
                      <w:szCs w:val="16"/>
                      <w:lang w:val="en-US"/>
                    </w:rPr>
                  </w:pPr>
                  <w:r w:rsidRPr="002D167B">
                    <w:rPr>
                      <w:rFonts w:ascii="Calibri" w:hAnsi="Calibri" w:cs="Calibri"/>
                      <w:color w:val="000000"/>
                      <w:sz w:val="16"/>
                      <w:szCs w:val="16"/>
                    </w:rPr>
                    <w:t> </w:t>
                  </w:r>
                </w:p>
              </w:tc>
              <w:tc>
                <w:tcPr>
                  <w:tcW w:w="1675" w:type="dxa"/>
                  <w:gridSpan w:val="2"/>
                  <w:tcBorders>
                    <w:top w:val="nil"/>
                    <w:left w:val="nil"/>
                    <w:bottom w:val="nil"/>
                    <w:right w:val="nil"/>
                  </w:tcBorders>
                  <w:shd w:val="clear" w:color="000000" w:fill="DDEBF7"/>
                  <w:vAlign w:val="center"/>
                  <w:hideMark/>
                </w:tcPr>
                <w:p w14:paraId="6FF0F8FA" w14:textId="77777777" w:rsidR="002D167B" w:rsidRPr="002D167B" w:rsidRDefault="002D167B" w:rsidP="002D167B">
                  <w:pPr>
                    <w:jc w:val="center"/>
                    <w:rPr>
                      <w:rFonts w:ascii="Calibri" w:hAnsi="Calibri" w:cs="Calibri"/>
                      <w:b/>
                      <w:bCs/>
                      <w:color w:val="000000"/>
                      <w:sz w:val="16"/>
                      <w:szCs w:val="16"/>
                    </w:rPr>
                  </w:pPr>
                  <w:r w:rsidRPr="002D167B">
                    <w:rPr>
                      <w:rFonts w:ascii="Calibri" w:hAnsi="Calibri" w:cs="Calibri"/>
                      <w:b/>
                      <w:bCs/>
                      <w:color w:val="000000"/>
                      <w:sz w:val="16"/>
                      <w:szCs w:val="16"/>
                    </w:rPr>
                    <w:t>01.12.2023</w:t>
                  </w:r>
                </w:p>
              </w:tc>
            </w:tr>
            <w:tr w:rsidR="002D167B" w14:paraId="739DF7F0" w14:textId="77777777" w:rsidTr="002D167B">
              <w:trPr>
                <w:trHeight w:val="59"/>
              </w:trPr>
              <w:tc>
                <w:tcPr>
                  <w:tcW w:w="2708" w:type="dxa"/>
                  <w:tcBorders>
                    <w:top w:val="nil"/>
                    <w:left w:val="nil"/>
                    <w:bottom w:val="single" w:sz="4" w:space="0" w:color="auto"/>
                    <w:right w:val="nil"/>
                  </w:tcBorders>
                  <w:shd w:val="clear" w:color="000000" w:fill="DDEBF7"/>
                  <w:vAlign w:val="center"/>
                  <w:hideMark/>
                </w:tcPr>
                <w:p w14:paraId="48DF9E66" w14:textId="77777777" w:rsidR="002D167B" w:rsidRPr="002D167B" w:rsidRDefault="002D167B" w:rsidP="002D167B">
                  <w:pPr>
                    <w:jc w:val="center"/>
                    <w:rPr>
                      <w:rFonts w:ascii="Calibri" w:hAnsi="Calibri" w:cs="Calibri"/>
                      <w:b/>
                      <w:bCs/>
                      <w:color w:val="000000"/>
                      <w:sz w:val="16"/>
                      <w:szCs w:val="16"/>
                    </w:rPr>
                  </w:pPr>
                  <w:r w:rsidRPr="002D167B">
                    <w:rPr>
                      <w:rFonts w:ascii="Calibri" w:hAnsi="Calibri" w:cs="Calibri"/>
                      <w:b/>
                      <w:bCs/>
                      <w:color w:val="000000"/>
                      <w:sz w:val="16"/>
                      <w:szCs w:val="16"/>
                    </w:rPr>
                    <w:t>Supplier name</w:t>
                  </w:r>
                </w:p>
              </w:tc>
              <w:tc>
                <w:tcPr>
                  <w:tcW w:w="933" w:type="dxa"/>
                  <w:tcBorders>
                    <w:top w:val="nil"/>
                    <w:left w:val="nil"/>
                    <w:bottom w:val="single" w:sz="4" w:space="0" w:color="auto"/>
                    <w:right w:val="nil"/>
                  </w:tcBorders>
                  <w:shd w:val="clear" w:color="000000" w:fill="DDEBF7"/>
                  <w:vAlign w:val="center"/>
                  <w:hideMark/>
                </w:tcPr>
                <w:p w14:paraId="45CC85F9" w14:textId="77777777" w:rsidR="002D167B" w:rsidRPr="002D167B" w:rsidRDefault="002D167B" w:rsidP="002D167B">
                  <w:pPr>
                    <w:jc w:val="center"/>
                    <w:rPr>
                      <w:rFonts w:ascii="Calibri" w:hAnsi="Calibri" w:cs="Calibri"/>
                      <w:color w:val="000000"/>
                      <w:sz w:val="16"/>
                      <w:szCs w:val="16"/>
                    </w:rPr>
                  </w:pPr>
                  <w:r w:rsidRPr="002D167B">
                    <w:rPr>
                      <w:rFonts w:ascii="Calibri" w:hAnsi="Calibri" w:cs="Calibri"/>
                      <w:color w:val="000000"/>
                      <w:sz w:val="16"/>
                      <w:szCs w:val="16"/>
                    </w:rPr>
                    <w:t>USD</w:t>
                  </w:r>
                </w:p>
              </w:tc>
              <w:tc>
                <w:tcPr>
                  <w:tcW w:w="741" w:type="dxa"/>
                  <w:tcBorders>
                    <w:top w:val="nil"/>
                    <w:left w:val="nil"/>
                    <w:bottom w:val="single" w:sz="4" w:space="0" w:color="auto"/>
                    <w:right w:val="nil"/>
                  </w:tcBorders>
                  <w:shd w:val="clear" w:color="000000" w:fill="DDEBF7"/>
                  <w:vAlign w:val="center"/>
                  <w:hideMark/>
                </w:tcPr>
                <w:p w14:paraId="523C6FE8" w14:textId="77777777" w:rsidR="002D167B" w:rsidRPr="002D167B" w:rsidRDefault="002D167B" w:rsidP="002D167B">
                  <w:pPr>
                    <w:jc w:val="center"/>
                    <w:rPr>
                      <w:rFonts w:ascii="Calibri" w:hAnsi="Calibri" w:cs="Calibri"/>
                      <w:color w:val="000000"/>
                      <w:sz w:val="16"/>
                      <w:szCs w:val="16"/>
                    </w:rPr>
                  </w:pPr>
                  <w:r w:rsidRPr="002D167B">
                    <w:rPr>
                      <w:rFonts w:ascii="Calibri" w:hAnsi="Calibri" w:cs="Calibri"/>
                      <w:color w:val="000000"/>
                      <w:sz w:val="16"/>
                      <w:szCs w:val="16"/>
                    </w:rPr>
                    <w:t>%</w:t>
                  </w:r>
                </w:p>
              </w:tc>
            </w:tr>
            <w:tr w:rsidR="002D167B" w14:paraId="751C9A79" w14:textId="77777777" w:rsidTr="002D167B">
              <w:trPr>
                <w:trHeight w:val="59"/>
              </w:trPr>
              <w:tc>
                <w:tcPr>
                  <w:tcW w:w="2708" w:type="dxa"/>
                  <w:tcBorders>
                    <w:top w:val="nil"/>
                    <w:left w:val="nil"/>
                    <w:bottom w:val="single" w:sz="4" w:space="0" w:color="auto"/>
                    <w:right w:val="nil"/>
                  </w:tcBorders>
                  <w:shd w:val="clear" w:color="auto" w:fill="auto"/>
                  <w:vAlign w:val="center"/>
                  <w:hideMark/>
                </w:tcPr>
                <w:p w14:paraId="0E3D982B" w14:textId="77777777" w:rsidR="002D167B" w:rsidRPr="002D167B" w:rsidRDefault="002D167B" w:rsidP="002D167B">
                  <w:pPr>
                    <w:rPr>
                      <w:rFonts w:ascii="Calibri" w:hAnsi="Calibri" w:cs="Calibri"/>
                      <w:color w:val="000000"/>
                      <w:sz w:val="16"/>
                      <w:szCs w:val="16"/>
                    </w:rPr>
                  </w:pPr>
                  <w:r w:rsidRPr="002D167B">
                    <w:rPr>
                      <w:rFonts w:ascii="Calibri" w:hAnsi="Calibri" w:cs="Calibri"/>
                      <w:color w:val="000000"/>
                      <w:sz w:val="16"/>
                      <w:szCs w:val="16"/>
                    </w:rPr>
                    <w:t>Global Steelworks</w:t>
                  </w:r>
                </w:p>
              </w:tc>
              <w:tc>
                <w:tcPr>
                  <w:tcW w:w="933" w:type="dxa"/>
                  <w:tcBorders>
                    <w:top w:val="nil"/>
                    <w:left w:val="nil"/>
                    <w:bottom w:val="single" w:sz="4" w:space="0" w:color="auto"/>
                    <w:right w:val="nil"/>
                  </w:tcBorders>
                  <w:shd w:val="clear" w:color="auto" w:fill="auto"/>
                  <w:vAlign w:val="center"/>
                  <w:hideMark/>
                </w:tcPr>
                <w:p w14:paraId="6C036556"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1 385 153</w:t>
                  </w:r>
                </w:p>
              </w:tc>
              <w:tc>
                <w:tcPr>
                  <w:tcW w:w="741" w:type="dxa"/>
                  <w:tcBorders>
                    <w:top w:val="nil"/>
                    <w:left w:val="nil"/>
                    <w:bottom w:val="single" w:sz="4" w:space="0" w:color="auto"/>
                    <w:right w:val="nil"/>
                  </w:tcBorders>
                  <w:shd w:val="clear" w:color="auto" w:fill="auto"/>
                  <w:vAlign w:val="center"/>
                  <w:hideMark/>
                </w:tcPr>
                <w:p w14:paraId="59538B87"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45,80%</w:t>
                  </w:r>
                </w:p>
              </w:tc>
            </w:tr>
            <w:tr w:rsidR="002D167B" w14:paraId="7D3FD475" w14:textId="77777777" w:rsidTr="002D167B">
              <w:trPr>
                <w:trHeight w:val="59"/>
              </w:trPr>
              <w:tc>
                <w:tcPr>
                  <w:tcW w:w="2708" w:type="dxa"/>
                  <w:tcBorders>
                    <w:top w:val="nil"/>
                    <w:left w:val="nil"/>
                    <w:bottom w:val="single" w:sz="4" w:space="0" w:color="auto"/>
                    <w:right w:val="nil"/>
                  </w:tcBorders>
                  <w:shd w:val="clear" w:color="auto" w:fill="auto"/>
                  <w:vAlign w:val="center"/>
                  <w:hideMark/>
                </w:tcPr>
                <w:p w14:paraId="655F0B64" w14:textId="77777777" w:rsidR="002D167B" w:rsidRPr="002D167B" w:rsidRDefault="002D167B" w:rsidP="002D167B">
                  <w:pPr>
                    <w:rPr>
                      <w:rFonts w:ascii="Calibri" w:hAnsi="Calibri" w:cs="Calibri"/>
                      <w:color w:val="000000"/>
                      <w:sz w:val="16"/>
                      <w:szCs w:val="16"/>
                    </w:rPr>
                  </w:pPr>
                  <w:r w:rsidRPr="002D167B">
                    <w:rPr>
                      <w:rFonts w:ascii="Calibri" w:hAnsi="Calibri" w:cs="Calibri"/>
                      <w:color w:val="000000"/>
                      <w:sz w:val="16"/>
                      <w:szCs w:val="16"/>
                    </w:rPr>
                    <w:t>IronCore Industries</w:t>
                  </w:r>
                </w:p>
              </w:tc>
              <w:tc>
                <w:tcPr>
                  <w:tcW w:w="933" w:type="dxa"/>
                  <w:tcBorders>
                    <w:top w:val="nil"/>
                    <w:left w:val="nil"/>
                    <w:bottom w:val="single" w:sz="4" w:space="0" w:color="auto"/>
                    <w:right w:val="nil"/>
                  </w:tcBorders>
                  <w:shd w:val="clear" w:color="auto" w:fill="auto"/>
                  <w:vAlign w:val="center"/>
                  <w:hideMark/>
                </w:tcPr>
                <w:p w14:paraId="0A44E9DA"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416 522</w:t>
                  </w:r>
                </w:p>
              </w:tc>
              <w:tc>
                <w:tcPr>
                  <w:tcW w:w="741" w:type="dxa"/>
                  <w:tcBorders>
                    <w:top w:val="nil"/>
                    <w:left w:val="nil"/>
                    <w:bottom w:val="single" w:sz="4" w:space="0" w:color="auto"/>
                    <w:right w:val="nil"/>
                  </w:tcBorders>
                  <w:shd w:val="clear" w:color="auto" w:fill="auto"/>
                  <w:vAlign w:val="center"/>
                  <w:hideMark/>
                </w:tcPr>
                <w:p w14:paraId="10CC009A"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13,80%</w:t>
                  </w:r>
                </w:p>
              </w:tc>
            </w:tr>
            <w:tr w:rsidR="002D167B" w14:paraId="4F74F413" w14:textId="77777777" w:rsidTr="002D167B">
              <w:trPr>
                <w:trHeight w:val="59"/>
              </w:trPr>
              <w:tc>
                <w:tcPr>
                  <w:tcW w:w="2708" w:type="dxa"/>
                  <w:tcBorders>
                    <w:top w:val="nil"/>
                    <w:left w:val="nil"/>
                    <w:bottom w:val="single" w:sz="4" w:space="0" w:color="auto"/>
                    <w:right w:val="nil"/>
                  </w:tcBorders>
                  <w:shd w:val="clear" w:color="auto" w:fill="auto"/>
                  <w:vAlign w:val="center"/>
                  <w:hideMark/>
                </w:tcPr>
                <w:p w14:paraId="14C67568" w14:textId="77777777" w:rsidR="002D167B" w:rsidRPr="002D167B" w:rsidRDefault="002D167B" w:rsidP="002D167B">
                  <w:pPr>
                    <w:rPr>
                      <w:rFonts w:ascii="Calibri" w:hAnsi="Calibri" w:cs="Calibri"/>
                      <w:color w:val="000000"/>
                      <w:sz w:val="16"/>
                      <w:szCs w:val="16"/>
                    </w:rPr>
                  </w:pPr>
                  <w:r w:rsidRPr="002D167B">
                    <w:rPr>
                      <w:rFonts w:ascii="Calibri" w:hAnsi="Calibri" w:cs="Calibri"/>
                      <w:color w:val="000000"/>
                      <w:sz w:val="16"/>
                      <w:szCs w:val="16"/>
                    </w:rPr>
                    <w:t>SteelPrime Co.</w:t>
                  </w:r>
                </w:p>
              </w:tc>
              <w:tc>
                <w:tcPr>
                  <w:tcW w:w="933" w:type="dxa"/>
                  <w:tcBorders>
                    <w:top w:val="nil"/>
                    <w:left w:val="nil"/>
                    <w:bottom w:val="single" w:sz="4" w:space="0" w:color="auto"/>
                    <w:right w:val="nil"/>
                  </w:tcBorders>
                  <w:shd w:val="clear" w:color="auto" w:fill="auto"/>
                  <w:vAlign w:val="center"/>
                  <w:hideMark/>
                </w:tcPr>
                <w:p w14:paraId="1C92D5A6"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306 307</w:t>
                  </w:r>
                </w:p>
              </w:tc>
              <w:tc>
                <w:tcPr>
                  <w:tcW w:w="741" w:type="dxa"/>
                  <w:tcBorders>
                    <w:top w:val="nil"/>
                    <w:left w:val="nil"/>
                    <w:bottom w:val="single" w:sz="4" w:space="0" w:color="auto"/>
                    <w:right w:val="nil"/>
                  </w:tcBorders>
                  <w:shd w:val="clear" w:color="auto" w:fill="auto"/>
                  <w:vAlign w:val="center"/>
                  <w:hideMark/>
                </w:tcPr>
                <w:p w14:paraId="481B03FE"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10,10%</w:t>
                  </w:r>
                </w:p>
              </w:tc>
            </w:tr>
            <w:tr w:rsidR="002D167B" w14:paraId="7B1A802A" w14:textId="77777777" w:rsidTr="002D167B">
              <w:trPr>
                <w:trHeight w:val="59"/>
              </w:trPr>
              <w:tc>
                <w:tcPr>
                  <w:tcW w:w="2708" w:type="dxa"/>
                  <w:tcBorders>
                    <w:top w:val="nil"/>
                    <w:left w:val="nil"/>
                    <w:bottom w:val="single" w:sz="4" w:space="0" w:color="auto"/>
                    <w:right w:val="nil"/>
                  </w:tcBorders>
                  <w:shd w:val="clear" w:color="auto" w:fill="auto"/>
                  <w:vAlign w:val="center"/>
                  <w:hideMark/>
                </w:tcPr>
                <w:p w14:paraId="54C45DB5" w14:textId="77777777" w:rsidR="002D167B" w:rsidRPr="002D167B" w:rsidRDefault="002D167B" w:rsidP="002D167B">
                  <w:pPr>
                    <w:rPr>
                      <w:rFonts w:ascii="Calibri" w:hAnsi="Calibri" w:cs="Calibri"/>
                      <w:color w:val="000000"/>
                      <w:sz w:val="16"/>
                      <w:szCs w:val="16"/>
                    </w:rPr>
                  </w:pPr>
                  <w:r w:rsidRPr="002D167B">
                    <w:rPr>
                      <w:rFonts w:ascii="Calibri" w:hAnsi="Calibri" w:cs="Calibri"/>
                      <w:color w:val="000000"/>
                      <w:sz w:val="16"/>
                      <w:szCs w:val="16"/>
                    </w:rPr>
                    <w:t>EuroSteel Alliance</w:t>
                  </w:r>
                </w:p>
              </w:tc>
              <w:tc>
                <w:tcPr>
                  <w:tcW w:w="933" w:type="dxa"/>
                  <w:tcBorders>
                    <w:top w:val="nil"/>
                    <w:left w:val="nil"/>
                    <w:bottom w:val="single" w:sz="4" w:space="0" w:color="auto"/>
                    <w:right w:val="nil"/>
                  </w:tcBorders>
                  <w:shd w:val="clear" w:color="auto" w:fill="auto"/>
                  <w:vAlign w:val="center"/>
                  <w:hideMark/>
                </w:tcPr>
                <w:p w14:paraId="0C4BDCAC"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251 791</w:t>
                  </w:r>
                </w:p>
              </w:tc>
              <w:tc>
                <w:tcPr>
                  <w:tcW w:w="741" w:type="dxa"/>
                  <w:tcBorders>
                    <w:top w:val="nil"/>
                    <w:left w:val="nil"/>
                    <w:bottom w:val="single" w:sz="4" w:space="0" w:color="auto"/>
                    <w:right w:val="nil"/>
                  </w:tcBorders>
                  <w:shd w:val="clear" w:color="auto" w:fill="auto"/>
                  <w:vAlign w:val="center"/>
                  <w:hideMark/>
                </w:tcPr>
                <w:p w14:paraId="555D65E2"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8,30%</w:t>
                  </w:r>
                </w:p>
              </w:tc>
            </w:tr>
            <w:tr w:rsidR="002D167B" w14:paraId="7681BED6" w14:textId="77777777" w:rsidTr="002D167B">
              <w:trPr>
                <w:trHeight w:val="59"/>
              </w:trPr>
              <w:tc>
                <w:tcPr>
                  <w:tcW w:w="2708" w:type="dxa"/>
                  <w:tcBorders>
                    <w:top w:val="nil"/>
                    <w:left w:val="nil"/>
                    <w:bottom w:val="single" w:sz="4" w:space="0" w:color="auto"/>
                    <w:right w:val="nil"/>
                  </w:tcBorders>
                  <w:shd w:val="clear" w:color="auto" w:fill="auto"/>
                  <w:vAlign w:val="center"/>
                  <w:hideMark/>
                </w:tcPr>
                <w:p w14:paraId="42B3CF22" w14:textId="77777777" w:rsidR="002D167B" w:rsidRPr="002D167B" w:rsidRDefault="002D167B" w:rsidP="002D167B">
                  <w:pPr>
                    <w:rPr>
                      <w:rFonts w:ascii="Calibri" w:hAnsi="Calibri" w:cs="Calibri"/>
                      <w:color w:val="000000"/>
                      <w:sz w:val="16"/>
                      <w:szCs w:val="16"/>
                    </w:rPr>
                  </w:pPr>
                  <w:r w:rsidRPr="002D167B">
                    <w:rPr>
                      <w:rFonts w:ascii="Calibri" w:hAnsi="Calibri" w:cs="Calibri"/>
                      <w:color w:val="000000"/>
                      <w:sz w:val="16"/>
                      <w:szCs w:val="16"/>
                    </w:rPr>
                    <w:t>Balkan Steel Innovations</w:t>
                  </w:r>
                </w:p>
              </w:tc>
              <w:tc>
                <w:tcPr>
                  <w:tcW w:w="933" w:type="dxa"/>
                  <w:tcBorders>
                    <w:top w:val="nil"/>
                    <w:left w:val="nil"/>
                    <w:bottom w:val="single" w:sz="4" w:space="0" w:color="auto"/>
                    <w:right w:val="nil"/>
                  </w:tcBorders>
                  <w:shd w:val="clear" w:color="auto" w:fill="auto"/>
                  <w:vAlign w:val="center"/>
                  <w:hideMark/>
                </w:tcPr>
                <w:p w14:paraId="071E1935"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114 749</w:t>
                  </w:r>
                </w:p>
              </w:tc>
              <w:tc>
                <w:tcPr>
                  <w:tcW w:w="741" w:type="dxa"/>
                  <w:tcBorders>
                    <w:top w:val="nil"/>
                    <w:left w:val="nil"/>
                    <w:bottom w:val="single" w:sz="4" w:space="0" w:color="auto"/>
                    <w:right w:val="nil"/>
                  </w:tcBorders>
                  <w:shd w:val="clear" w:color="auto" w:fill="auto"/>
                  <w:vAlign w:val="center"/>
                  <w:hideMark/>
                </w:tcPr>
                <w:p w14:paraId="28B9AF2B" w14:textId="77777777" w:rsidR="002D167B" w:rsidRPr="002D167B" w:rsidRDefault="002D167B" w:rsidP="002D167B">
                  <w:pPr>
                    <w:jc w:val="right"/>
                    <w:rPr>
                      <w:rFonts w:ascii="Calibri" w:hAnsi="Calibri" w:cs="Calibri"/>
                      <w:color w:val="000000"/>
                      <w:sz w:val="16"/>
                      <w:szCs w:val="16"/>
                    </w:rPr>
                  </w:pPr>
                  <w:r w:rsidRPr="002D167B">
                    <w:rPr>
                      <w:rFonts w:ascii="Calibri" w:hAnsi="Calibri" w:cs="Calibri"/>
                      <w:color w:val="000000"/>
                      <w:sz w:val="16"/>
                      <w:szCs w:val="16"/>
                    </w:rPr>
                    <w:t>3,80%</w:t>
                  </w:r>
                </w:p>
              </w:tc>
            </w:tr>
            <w:tr w:rsidR="002D167B" w14:paraId="4D796151" w14:textId="77777777" w:rsidTr="002D167B">
              <w:trPr>
                <w:trHeight w:val="59"/>
              </w:trPr>
              <w:tc>
                <w:tcPr>
                  <w:tcW w:w="2708" w:type="dxa"/>
                  <w:tcBorders>
                    <w:top w:val="nil"/>
                    <w:left w:val="nil"/>
                    <w:bottom w:val="single" w:sz="4" w:space="0" w:color="auto"/>
                    <w:right w:val="nil"/>
                  </w:tcBorders>
                  <w:shd w:val="clear" w:color="000000" w:fill="DDEBF7"/>
                  <w:vAlign w:val="center"/>
                  <w:hideMark/>
                </w:tcPr>
                <w:p w14:paraId="6A831D1D" w14:textId="77777777" w:rsidR="002D167B" w:rsidRPr="002D167B" w:rsidRDefault="002D167B" w:rsidP="002D167B">
                  <w:pPr>
                    <w:rPr>
                      <w:rFonts w:ascii="Calibri" w:hAnsi="Calibri" w:cs="Calibri"/>
                      <w:b/>
                      <w:bCs/>
                      <w:color w:val="000000"/>
                      <w:sz w:val="16"/>
                      <w:szCs w:val="16"/>
                    </w:rPr>
                  </w:pPr>
                  <w:r w:rsidRPr="002D167B">
                    <w:rPr>
                      <w:rFonts w:ascii="Calibri" w:hAnsi="Calibri" w:cs="Calibri"/>
                      <w:b/>
                      <w:bCs/>
                      <w:color w:val="000000"/>
                      <w:sz w:val="16"/>
                      <w:szCs w:val="16"/>
                    </w:rPr>
                    <w:t>Subtotal Top5 suppliers</w:t>
                  </w:r>
                </w:p>
              </w:tc>
              <w:tc>
                <w:tcPr>
                  <w:tcW w:w="933" w:type="dxa"/>
                  <w:tcBorders>
                    <w:top w:val="nil"/>
                    <w:left w:val="nil"/>
                    <w:bottom w:val="single" w:sz="4" w:space="0" w:color="auto"/>
                    <w:right w:val="nil"/>
                  </w:tcBorders>
                  <w:shd w:val="clear" w:color="000000" w:fill="DDEBF7"/>
                  <w:vAlign w:val="center"/>
                  <w:hideMark/>
                </w:tcPr>
                <w:p w14:paraId="4300C7AA" w14:textId="77777777" w:rsidR="002D167B" w:rsidRPr="002D167B" w:rsidRDefault="002D167B" w:rsidP="002D167B">
                  <w:pPr>
                    <w:jc w:val="right"/>
                    <w:rPr>
                      <w:rFonts w:ascii="Calibri" w:hAnsi="Calibri" w:cs="Calibri"/>
                      <w:b/>
                      <w:bCs/>
                      <w:color w:val="000000"/>
                      <w:sz w:val="16"/>
                      <w:szCs w:val="16"/>
                    </w:rPr>
                  </w:pPr>
                  <w:r w:rsidRPr="002D167B">
                    <w:rPr>
                      <w:rFonts w:ascii="Calibri" w:hAnsi="Calibri" w:cs="Calibri"/>
                      <w:b/>
                      <w:bCs/>
                      <w:color w:val="000000"/>
                      <w:sz w:val="16"/>
                      <w:szCs w:val="16"/>
                    </w:rPr>
                    <w:t>2 474 522</w:t>
                  </w:r>
                </w:p>
              </w:tc>
              <w:tc>
                <w:tcPr>
                  <w:tcW w:w="741" w:type="dxa"/>
                  <w:tcBorders>
                    <w:top w:val="nil"/>
                    <w:left w:val="nil"/>
                    <w:bottom w:val="single" w:sz="4" w:space="0" w:color="auto"/>
                    <w:right w:val="nil"/>
                  </w:tcBorders>
                  <w:shd w:val="clear" w:color="000000" w:fill="DDEBF7"/>
                  <w:vAlign w:val="center"/>
                  <w:hideMark/>
                </w:tcPr>
                <w:p w14:paraId="0FF88E57" w14:textId="77777777" w:rsidR="002D167B" w:rsidRPr="002D167B" w:rsidRDefault="002D167B" w:rsidP="002D167B">
                  <w:pPr>
                    <w:jc w:val="right"/>
                    <w:rPr>
                      <w:rFonts w:ascii="Calibri" w:hAnsi="Calibri" w:cs="Calibri"/>
                      <w:b/>
                      <w:bCs/>
                      <w:color w:val="000000"/>
                      <w:sz w:val="16"/>
                      <w:szCs w:val="16"/>
                    </w:rPr>
                  </w:pPr>
                  <w:r w:rsidRPr="002D167B">
                    <w:rPr>
                      <w:rFonts w:ascii="Calibri" w:hAnsi="Calibri" w:cs="Calibri"/>
                      <w:b/>
                      <w:bCs/>
                      <w:color w:val="000000"/>
                      <w:sz w:val="16"/>
                      <w:szCs w:val="16"/>
                    </w:rPr>
                    <w:t>81,90%</w:t>
                  </w:r>
                </w:p>
              </w:tc>
            </w:tr>
          </w:tbl>
          <w:p w14:paraId="7A047997" w14:textId="77777777" w:rsidR="00E3208A" w:rsidRDefault="00000000">
            <w:r>
              <w:br/>
              <w:t xml:space="preserve">Historically concentration towards 2 dominant local steel Global Steelworks and EuroSteel Alliance. In 2023 slight growth towards Global Steelworks Mittal (from 31% to 46%) and reduction towards </w:t>
            </w:r>
            <w:r w:rsidR="00AE7A2B">
              <w:t>EuroSteel Alliance</w:t>
            </w:r>
            <w:r>
              <w:t xml:space="preserve"> (from 29% to 8%) that was replaced by other TOP 5 suppliers mainly from Italy (IronCore Industries and SteelPrime Co.)</w:t>
            </w:r>
            <w:r>
              <w:br/>
              <w:t xml:space="preserve">No ED set as standard steel commodities are delivered, i.e. switch to other supplier possible; however lower less advantageous prices can’t be ruled out </w:t>
            </w:r>
            <w:r>
              <w:br/>
              <w:t xml:space="preserve">Contracts are signed on semiannual frame basis; at this moment volumes and prices set for 1H/2023. Almost all purchases are in EUR. </w:t>
            </w:r>
            <w:r>
              <w:br/>
              <w:t>Global Steelworks offers bonuses based on reached volumes -&gt; for 2023 USD 584.5mn  (vs. USD 776 for 2022, USD 645 for 2021 and USD 968 for 2020). Standard scheme is following -&gt; if sales are lower they are proportionally reduced; for sales lower by 50% than no bonuses are paid</w:t>
            </w:r>
            <w:r>
              <w:br/>
              <w:t>Payment conditions standard: 30-60D</w:t>
            </w:r>
            <w:r>
              <w:br/>
            </w:r>
            <w:r>
              <w:lastRenderedPageBreak/>
              <w:t>Import with increase from previous 65% above 80% for 2023</w:t>
            </w:r>
            <w:r>
              <w:br/>
              <w:t>Energy: for 2023 costs USD 935.2mn (thereof 6.2mn electricity); spot prices applied but with respect to low expenses not considered as issue for FERROTECH</w:t>
            </w:r>
            <w:r>
              <w:br/>
            </w:r>
          </w:p>
          <w:tbl>
            <w:tblPr>
              <w:tblW w:w="9013" w:type="dxa"/>
              <w:tblLayout w:type="fixed"/>
              <w:tblLook w:val="04A0" w:firstRow="1" w:lastRow="0" w:firstColumn="1" w:lastColumn="0" w:noHBand="0" w:noVBand="1"/>
            </w:tblPr>
            <w:tblGrid>
              <w:gridCol w:w="1525"/>
              <w:gridCol w:w="1160"/>
              <w:gridCol w:w="883"/>
              <w:gridCol w:w="883"/>
              <w:gridCol w:w="883"/>
              <w:gridCol w:w="883"/>
              <w:gridCol w:w="883"/>
              <w:gridCol w:w="883"/>
              <w:gridCol w:w="1030"/>
            </w:tblGrid>
            <w:tr w:rsidR="00E3208A" w:rsidRPr="000F28BA" w14:paraId="468942C6" w14:textId="77777777" w:rsidTr="00E3208A">
              <w:trPr>
                <w:trHeight w:val="20"/>
              </w:trPr>
              <w:tc>
                <w:tcPr>
                  <w:tcW w:w="1525"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18B9826E" w14:textId="77777777" w:rsidR="00E3208A" w:rsidRPr="000F28BA" w:rsidRDefault="00E3208A" w:rsidP="00E3208A">
                  <w:pPr>
                    <w:rPr>
                      <w:rFonts w:ascii="Calibri" w:hAnsi="Calibri" w:cs="Calibri"/>
                      <w:b/>
                      <w:bCs/>
                      <w:color w:val="000000"/>
                      <w:sz w:val="18"/>
                      <w:szCs w:val="18"/>
                      <w:lang w:val="en-US"/>
                    </w:rPr>
                  </w:pPr>
                  <w:r w:rsidRPr="000F28BA">
                    <w:rPr>
                      <w:rFonts w:ascii="Calibri" w:hAnsi="Calibri" w:cs="Calibri"/>
                      <w:b/>
                      <w:bCs/>
                      <w:color w:val="000000"/>
                      <w:sz w:val="18"/>
                      <w:szCs w:val="18"/>
                    </w:rPr>
                    <w:t>Trade</w:t>
                  </w:r>
                  <w:r w:rsidRPr="000F28BA">
                    <w:rPr>
                      <w:rFonts w:ascii="Calibri" w:hAnsi="Calibri" w:cs="Calibri"/>
                      <w:b/>
                      <w:bCs/>
                      <w:color w:val="000000"/>
                      <w:sz w:val="18"/>
                      <w:szCs w:val="18"/>
                    </w:rPr>
                    <w:br/>
                    <w:t>Receivables:</w:t>
                  </w:r>
                  <w:r w:rsidRPr="000F28BA">
                    <w:rPr>
                      <w:rFonts w:ascii="Calibri" w:hAnsi="Calibri" w:cs="Calibri"/>
                      <w:b/>
                      <w:bCs/>
                      <w:color w:val="000000"/>
                      <w:sz w:val="18"/>
                      <w:szCs w:val="18"/>
                    </w:rPr>
                    <w:br/>
                  </w:r>
                  <w:r w:rsidRPr="000F28BA">
                    <w:rPr>
                      <w:rFonts w:ascii="Calibri" w:hAnsi="Calibri" w:cs="Calibri"/>
                      <w:color w:val="000000"/>
                      <w:sz w:val="18"/>
                      <w:szCs w:val="18"/>
                    </w:rPr>
                    <w:t>Date</w:t>
                  </w:r>
                </w:p>
              </w:tc>
              <w:tc>
                <w:tcPr>
                  <w:tcW w:w="1160" w:type="dxa"/>
                  <w:tcBorders>
                    <w:top w:val="single" w:sz="4" w:space="0" w:color="auto"/>
                    <w:left w:val="nil"/>
                    <w:bottom w:val="single" w:sz="4" w:space="0" w:color="auto"/>
                    <w:right w:val="single" w:sz="4" w:space="0" w:color="auto"/>
                  </w:tcBorders>
                  <w:shd w:val="clear" w:color="000000" w:fill="DDEBF7"/>
                  <w:vAlign w:val="center"/>
                  <w:hideMark/>
                </w:tcPr>
                <w:p w14:paraId="1FCD7115"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Due</w:t>
                  </w:r>
                </w:p>
              </w:tc>
              <w:tc>
                <w:tcPr>
                  <w:tcW w:w="5298" w:type="dxa"/>
                  <w:gridSpan w:val="6"/>
                  <w:tcBorders>
                    <w:top w:val="single" w:sz="4" w:space="0" w:color="auto"/>
                    <w:left w:val="nil"/>
                    <w:bottom w:val="nil"/>
                    <w:right w:val="nil"/>
                  </w:tcBorders>
                  <w:shd w:val="clear" w:color="000000" w:fill="DDEBF7"/>
                  <w:vAlign w:val="center"/>
                  <w:hideMark/>
                </w:tcPr>
                <w:p w14:paraId="2777F22C"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Overdue brutto</w:t>
                  </w:r>
                </w:p>
              </w:tc>
              <w:tc>
                <w:tcPr>
                  <w:tcW w:w="103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747BF78"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Total netto</w:t>
                  </w:r>
                </w:p>
              </w:tc>
            </w:tr>
            <w:tr w:rsidR="00E3208A" w:rsidRPr="000F28BA" w14:paraId="33435423" w14:textId="77777777" w:rsidTr="00E3208A">
              <w:trPr>
                <w:trHeight w:val="20"/>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1AD37A27" w14:textId="77777777" w:rsidR="00E3208A" w:rsidRPr="000F28BA" w:rsidRDefault="00E3208A" w:rsidP="00E3208A">
                  <w:pPr>
                    <w:rPr>
                      <w:rFonts w:ascii="Calibri" w:hAnsi="Calibri" w:cs="Calibri"/>
                      <w:b/>
                      <w:bCs/>
                      <w:color w:val="000000"/>
                      <w:sz w:val="18"/>
                      <w:szCs w:val="18"/>
                    </w:rPr>
                  </w:pPr>
                </w:p>
              </w:tc>
              <w:tc>
                <w:tcPr>
                  <w:tcW w:w="1160" w:type="dxa"/>
                  <w:tcBorders>
                    <w:top w:val="nil"/>
                    <w:left w:val="nil"/>
                    <w:bottom w:val="single" w:sz="4" w:space="0" w:color="auto"/>
                    <w:right w:val="single" w:sz="4" w:space="0" w:color="auto"/>
                  </w:tcBorders>
                  <w:shd w:val="clear" w:color="000000" w:fill="DDEBF7"/>
                  <w:vAlign w:val="center"/>
                  <w:hideMark/>
                </w:tcPr>
                <w:p w14:paraId="3E01E3F0" w14:textId="77777777" w:rsidR="00E3208A" w:rsidRPr="000F28BA" w:rsidRDefault="00E3208A" w:rsidP="00E3208A">
                  <w:pPr>
                    <w:rPr>
                      <w:rFonts w:ascii="Calibri" w:hAnsi="Calibri" w:cs="Calibri"/>
                      <w:color w:val="000000"/>
                      <w:sz w:val="18"/>
                      <w:szCs w:val="18"/>
                    </w:rPr>
                  </w:pPr>
                  <w:r>
                    <w:rPr>
                      <w:rFonts w:ascii="Calibri" w:hAnsi="Calibri" w:cs="Calibri"/>
                      <w:color w:val="000000"/>
                      <w:sz w:val="18"/>
                      <w:szCs w:val="18"/>
                    </w:rPr>
                    <w:t>USD</w:t>
                  </w:r>
                  <w:r w:rsidRPr="000F28BA">
                    <w:rPr>
                      <w:rFonts w:ascii="Calibri" w:hAnsi="Calibri" w:cs="Calibri"/>
                      <w:color w:val="000000"/>
                      <w:sz w:val="18"/>
                      <w:szCs w:val="18"/>
                    </w:rPr>
                    <w:t xml:space="preserve"> tsd</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699249BF" w14:textId="77777777" w:rsidR="00E3208A" w:rsidRPr="000F28BA" w:rsidRDefault="00E3208A" w:rsidP="00E3208A">
                  <w:pPr>
                    <w:rPr>
                      <w:rFonts w:ascii="Calibri" w:hAnsi="Calibri" w:cs="Calibri"/>
                      <w:color w:val="000000"/>
                      <w:sz w:val="18"/>
                      <w:szCs w:val="18"/>
                    </w:rPr>
                  </w:pPr>
                  <w:r w:rsidRPr="000F28BA">
                    <w:rPr>
                      <w:rFonts w:ascii="Calibri" w:hAnsi="Calibri" w:cs="Calibri"/>
                      <w:color w:val="000000"/>
                      <w:sz w:val="18"/>
                      <w:szCs w:val="18"/>
                    </w:rPr>
                    <w:t>&lt;30 days</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2C24233E" w14:textId="77777777" w:rsidR="00E3208A" w:rsidRPr="000F28BA" w:rsidRDefault="00E3208A" w:rsidP="00E3208A">
                  <w:pPr>
                    <w:rPr>
                      <w:rFonts w:ascii="Calibri" w:hAnsi="Calibri" w:cs="Calibri"/>
                      <w:color w:val="000000"/>
                      <w:sz w:val="18"/>
                      <w:szCs w:val="18"/>
                    </w:rPr>
                  </w:pPr>
                  <w:r w:rsidRPr="000F28BA">
                    <w:rPr>
                      <w:rFonts w:ascii="Calibri" w:hAnsi="Calibri" w:cs="Calibri"/>
                      <w:color w:val="000000"/>
                      <w:sz w:val="18"/>
                      <w:szCs w:val="18"/>
                    </w:rPr>
                    <w:t>31-60</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0168C8DC" w14:textId="77777777" w:rsidR="00E3208A" w:rsidRPr="000F28BA" w:rsidRDefault="00E3208A" w:rsidP="00E3208A">
                  <w:pPr>
                    <w:rPr>
                      <w:rFonts w:ascii="Calibri" w:hAnsi="Calibri" w:cs="Calibri"/>
                      <w:color w:val="000000"/>
                      <w:sz w:val="18"/>
                      <w:szCs w:val="18"/>
                    </w:rPr>
                  </w:pPr>
                  <w:r w:rsidRPr="000F28BA">
                    <w:rPr>
                      <w:rFonts w:ascii="Calibri" w:hAnsi="Calibri" w:cs="Calibri"/>
                      <w:color w:val="000000"/>
                      <w:sz w:val="18"/>
                      <w:szCs w:val="18"/>
                    </w:rPr>
                    <w:t>61-90</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2BEE5067" w14:textId="77777777" w:rsidR="00E3208A" w:rsidRPr="000F28BA" w:rsidRDefault="00E3208A" w:rsidP="00E3208A">
                  <w:pPr>
                    <w:rPr>
                      <w:rFonts w:ascii="Calibri" w:hAnsi="Calibri" w:cs="Calibri"/>
                      <w:color w:val="000000"/>
                      <w:sz w:val="18"/>
                      <w:szCs w:val="18"/>
                    </w:rPr>
                  </w:pPr>
                  <w:r w:rsidRPr="000F28BA">
                    <w:rPr>
                      <w:rFonts w:ascii="Calibri" w:hAnsi="Calibri" w:cs="Calibri"/>
                      <w:color w:val="000000"/>
                      <w:sz w:val="18"/>
                      <w:szCs w:val="18"/>
                    </w:rPr>
                    <w:t>91-180</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708F46E6" w14:textId="77777777" w:rsidR="00E3208A" w:rsidRPr="000F28BA" w:rsidRDefault="00E3208A" w:rsidP="00E3208A">
                  <w:pPr>
                    <w:rPr>
                      <w:rFonts w:ascii="Calibri" w:hAnsi="Calibri" w:cs="Calibri"/>
                      <w:color w:val="000000"/>
                      <w:sz w:val="18"/>
                      <w:szCs w:val="18"/>
                    </w:rPr>
                  </w:pPr>
                  <w:r w:rsidRPr="000F28BA">
                    <w:rPr>
                      <w:rFonts w:ascii="Calibri" w:hAnsi="Calibri" w:cs="Calibri"/>
                      <w:color w:val="000000"/>
                      <w:sz w:val="18"/>
                      <w:szCs w:val="18"/>
                    </w:rPr>
                    <w:t>181-365</w:t>
                  </w:r>
                </w:p>
              </w:tc>
              <w:tc>
                <w:tcPr>
                  <w:tcW w:w="883" w:type="dxa"/>
                  <w:tcBorders>
                    <w:top w:val="single" w:sz="4" w:space="0" w:color="auto"/>
                    <w:left w:val="nil"/>
                    <w:bottom w:val="single" w:sz="4" w:space="0" w:color="auto"/>
                    <w:right w:val="single" w:sz="4" w:space="0" w:color="auto"/>
                  </w:tcBorders>
                  <w:shd w:val="clear" w:color="000000" w:fill="DDEBF7"/>
                  <w:vAlign w:val="center"/>
                  <w:hideMark/>
                </w:tcPr>
                <w:p w14:paraId="439FD5D6" w14:textId="77777777" w:rsidR="00E3208A" w:rsidRPr="000F28BA" w:rsidRDefault="00E3208A" w:rsidP="00E3208A">
                  <w:pPr>
                    <w:rPr>
                      <w:rFonts w:ascii="Calibri" w:hAnsi="Calibri" w:cs="Calibri"/>
                      <w:color w:val="000000"/>
                      <w:sz w:val="18"/>
                      <w:szCs w:val="18"/>
                    </w:rPr>
                  </w:pPr>
                  <w:r w:rsidRPr="000F28BA">
                    <w:rPr>
                      <w:rFonts w:ascii="Calibri" w:hAnsi="Calibri" w:cs="Calibri"/>
                      <w:color w:val="000000"/>
                      <w:sz w:val="18"/>
                      <w:szCs w:val="18"/>
                    </w:rPr>
                    <w:t>&gt;365</w:t>
                  </w:r>
                </w:p>
              </w:tc>
              <w:tc>
                <w:tcPr>
                  <w:tcW w:w="1030" w:type="dxa"/>
                  <w:vMerge/>
                  <w:tcBorders>
                    <w:top w:val="single" w:sz="4" w:space="0" w:color="auto"/>
                    <w:left w:val="single" w:sz="4" w:space="0" w:color="auto"/>
                    <w:bottom w:val="single" w:sz="4" w:space="0" w:color="auto"/>
                    <w:right w:val="single" w:sz="4" w:space="0" w:color="auto"/>
                  </w:tcBorders>
                  <w:vAlign w:val="center"/>
                  <w:hideMark/>
                </w:tcPr>
                <w:p w14:paraId="274F963C" w14:textId="77777777" w:rsidR="00E3208A" w:rsidRPr="000F28BA" w:rsidRDefault="00E3208A" w:rsidP="00E3208A">
                  <w:pPr>
                    <w:rPr>
                      <w:rFonts w:ascii="Calibri" w:hAnsi="Calibri" w:cs="Calibri"/>
                      <w:b/>
                      <w:bCs/>
                      <w:color w:val="000000"/>
                      <w:sz w:val="18"/>
                      <w:szCs w:val="18"/>
                    </w:rPr>
                  </w:pPr>
                </w:p>
              </w:tc>
            </w:tr>
            <w:tr w:rsidR="00E3208A" w:rsidRPr="000F28BA" w14:paraId="6E3DC290" w14:textId="77777777" w:rsidTr="00E3208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38FFA279" w14:textId="77777777" w:rsidR="00E3208A" w:rsidRPr="000F28BA" w:rsidRDefault="00E3208A" w:rsidP="00E3208A">
                  <w:pPr>
                    <w:rPr>
                      <w:rFonts w:ascii="Calibri" w:hAnsi="Calibri" w:cs="Calibri"/>
                      <w:b/>
                      <w:bCs/>
                      <w:color w:val="000000"/>
                      <w:sz w:val="18"/>
                      <w:szCs w:val="18"/>
                    </w:rPr>
                  </w:pPr>
                  <w:r w:rsidRPr="000F28BA">
                    <w:rPr>
                      <w:rFonts w:ascii="Calibri" w:hAnsi="Calibri" w:cs="Calibri"/>
                      <w:b/>
                      <w:bCs/>
                      <w:color w:val="000000"/>
                      <w:sz w:val="18"/>
                      <w:szCs w:val="18"/>
                    </w:rPr>
                    <w:t>31.12.2023</w:t>
                  </w:r>
                </w:p>
              </w:tc>
              <w:tc>
                <w:tcPr>
                  <w:tcW w:w="1160" w:type="dxa"/>
                  <w:tcBorders>
                    <w:top w:val="nil"/>
                    <w:left w:val="nil"/>
                    <w:bottom w:val="single" w:sz="4" w:space="0" w:color="auto"/>
                    <w:right w:val="single" w:sz="4" w:space="0" w:color="auto"/>
                  </w:tcBorders>
                  <w:shd w:val="clear" w:color="auto" w:fill="auto"/>
                  <w:vAlign w:val="center"/>
                  <w:hideMark/>
                </w:tcPr>
                <w:p w14:paraId="4208DB0B" w14:textId="4C8D1C4A" w:rsidR="00E3208A" w:rsidRPr="000F28BA" w:rsidRDefault="00E3208A" w:rsidP="00E3208A">
                  <w:pPr>
                    <w:jc w:val="center"/>
                    <w:rPr>
                      <w:rFonts w:ascii="Calibri" w:hAnsi="Calibri" w:cs="Calibri"/>
                      <w:b/>
                      <w:bCs/>
                      <w:color w:val="000000"/>
                      <w:sz w:val="18"/>
                      <w:szCs w:val="18"/>
                    </w:rPr>
                  </w:pPr>
                  <w:r>
                    <w:rPr>
                      <w:rFonts w:ascii="Calibri" w:hAnsi="Calibri" w:cs="Calibri"/>
                      <w:b/>
                      <w:bCs/>
                      <w:color w:val="000000"/>
                      <w:sz w:val="18"/>
                      <w:szCs w:val="18"/>
                    </w:rPr>
                    <w:t>357 993</w:t>
                  </w:r>
                </w:p>
              </w:tc>
              <w:tc>
                <w:tcPr>
                  <w:tcW w:w="883" w:type="dxa"/>
                  <w:tcBorders>
                    <w:top w:val="nil"/>
                    <w:left w:val="nil"/>
                    <w:bottom w:val="single" w:sz="4" w:space="0" w:color="auto"/>
                    <w:right w:val="single" w:sz="4" w:space="0" w:color="auto"/>
                  </w:tcBorders>
                  <w:shd w:val="clear" w:color="auto" w:fill="auto"/>
                  <w:vAlign w:val="center"/>
                  <w:hideMark/>
                </w:tcPr>
                <w:p w14:paraId="68C7FBBA" w14:textId="3DD77F92" w:rsidR="00E3208A" w:rsidRPr="000F28BA" w:rsidRDefault="00E3208A" w:rsidP="00E3208A">
                  <w:pPr>
                    <w:jc w:val="center"/>
                    <w:rPr>
                      <w:rFonts w:ascii="Calibri" w:hAnsi="Calibri" w:cs="Calibri"/>
                      <w:b/>
                      <w:bCs/>
                      <w:color w:val="000000"/>
                      <w:sz w:val="18"/>
                      <w:szCs w:val="18"/>
                    </w:rPr>
                  </w:pPr>
                  <w:r>
                    <w:rPr>
                      <w:rFonts w:ascii="Calibri" w:hAnsi="Calibri" w:cs="Calibri"/>
                      <w:b/>
                      <w:bCs/>
                      <w:color w:val="000000"/>
                      <w:sz w:val="18"/>
                      <w:szCs w:val="18"/>
                    </w:rPr>
                    <w:t>97 179</w:t>
                  </w:r>
                </w:p>
              </w:tc>
              <w:tc>
                <w:tcPr>
                  <w:tcW w:w="883" w:type="dxa"/>
                  <w:tcBorders>
                    <w:top w:val="nil"/>
                    <w:left w:val="nil"/>
                    <w:bottom w:val="single" w:sz="4" w:space="0" w:color="auto"/>
                    <w:right w:val="single" w:sz="4" w:space="0" w:color="auto"/>
                  </w:tcBorders>
                  <w:shd w:val="clear" w:color="auto" w:fill="auto"/>
                  <w:vAlign w:val="center"/>
                  <w:hideMark/>
                </w:tcPr>
                <w:p w14:paraId="5B10FA64" w14:textId="25755898" w:rsidR="00E3208A" w:rsidRPr="000F28BA" w:rsidRDefault="00E3208A" w:rsidP="00E3208A">
                  <w:pPr>
                    <w:jc w:val="center"/>
                    <w:rPr>
                      <w:rFonts w:ascii="Calibri" w:hAnsi="Calibri" w:cs="Calibri"/>
                      <w:b/>
                      <w:bCs/>
                      <w:color w:val="000000"/>
                      <w:sz w:val="18"/>
                      <w:szCs w:val="18"/>
                    </w:rPr>
                  </w:pPr>
                  <w:r>
                    <w:rPr>
                      <w:rFonts w:ascii="Calibri" w:hAnsi="Calibri" w:cs="Calibri"/>
                      <w:b/>
                      <w:bCs/>
                      <w:color w:val="000000"/>
                      <w:sz w:val="18"/>
                      <w:szCs w:val="18"/>
                    </w:rPr>
                    <w:t>29</w:t>
                  </w:r>
                </w:p>
              </w:tc>
              <w:tc>
                <w:tcPr>
                  <w:tcW w:w="883" w:type="dxa"/>
                  <w:tcBorders>
                    <w:top w:val="nil"/>
                    <w:left w:val="nil"/>
                    <w:bottom w:val="single" w:sz="4" w:space="0" w:color="auto"/>
                    <w:right w:val="single" w:sz="4" w:space="0" w:color="auto"/>
                  </w:tcBorders>
                  <w:shd w:val="clear" w:color="auto" w:fill="auto"/>
                  <w:vAlign w:val="center"/>
                  <w:hideMark/>
                </w:tcPr>
                <w:p w14:paraId="3562B6C7"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270AD214" w14:textId="6F40BCD3" w:rsidR="00E3208A" w:rsidRPr="000F28BA" w:rsidRDefault="00E3208A" w:rsidP="00E3208A">
                  <w:pPr>
                    <w:jc w:val="center"/>
                    <w:rPr>
                      <w:rFonts w:ascii="Calibri" w:hAnsi="Calibri" w:cs="Calibri"/>
                      <w:b/>
                      <w:bCs/>
                      <w:color w:val="000000"/>
                      <w:sz w:val="18"/>
                      <w:szCs w:val="18"/>
                    </w:rPr>
                  </w:pPr>
                  <w:r>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6529FE50"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170E33FB" w14:textId="625AF265" w:rsidR="00E3208A" w:rsidRPr="000F28BA" w:rsidRDefault="00E3208A" w:rsidP="00E3208A">
                  <w:pPr>
                    <w:jc w:val="center"/>
                    <w:rPr>
                      <w:rFonts w:ascii="Calibri" w:hAnsi="Calibri" w:cs="Calibri"/>
                      <w:b/>
                      <w:bCs/>
                      <w:color w:val="000000"/>
                      <w:sz w:val="18"/>
                      <w:szCs w:val="18"/>
                    </w:rPr>
                  </w:pPr>
                  <w:r>
                    <w:rPr>
                      <w:rFonts w:ascii="Calibri" w:hAnsi="Calibri" w:cs="Calibri"/>
                      <w:b/>
                      <w:bCs/>
                      <w:color w:val="000000"/>
                      <w:sz w:val="18"/>
                      <w:szCs w:val="18"/>
                    </w:rPr>
                    <w:t>365</w:t>
                  </w:r>
                </w:p>
              </w:tc>
              <w:tc>
                <w:tcPr>
                  <w:tcW w:w="1030" w:type="dxa"/>
                  <w:tcBorders>
                    <w:top w:val="nil"/>
                    <w:left w:val="nil"/>
                    <w:bottom w:val="single" w:sz="4" w:space="0" w:color="auto"/>
                    <w:right w:val="single" w:sz="4" w:space="0" w:color="auto"/>
                  </w:tcBorders>
                  <w:shd w:val="clear" w:color="auto" w:fill="auto"/>
                  <w:vAlign w:val="center"/>
                  <w:hideMark/>
                </w:tcPr>
                <w:p w14:paraId="1B502F92" w14:textId="2B8FE571" w:rsidR="00E3208A" w:rsidRPr="000F28BA" w:rsidRDefault="00E3208A" w:rsidP="00E3208A">
                  <w:pPr>
                    <w:jc w:val="center"/>
                    <w:rPr>
                      <w:rFonts w:ascii="Calibri" w:hAnsi="Calibri" w:cs="Calibri"/>
                      <w:b/>
                      <w:bCs/>
                      <w:color w:val="000000"/>
                      <w:sz w:val="18"/>
                      <w:szCs w:val="18"/>
                    </w:rPr>
                  </w:pPr>
                  <w:r>
                    <w:rPr>
                      <w:rFonts w:ascii="Calibri" w:hAnsi="Calibri" w:cs="Calibri"/>
                      <w:b/>
                      <w:bCs/>
                      <w:color w:val="000000"/>
                      <w:sz w:val="18"/>
                      <w:szCs w:val="18"/>
                    </w:rPr>
                    <w:t>455 566</w:t>
                  </w:r>
                </w:p>
              </w:tc>
            </w:tr>
            <w:tr w:rsidR="00E3208A" w:rsidRPr="000F28BA" w14:paraId="55D6112D" w14:textId="77777777" w:rsidTr="00E3208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525DF5F0" w14:textId="77777777" w:rsidR="00E3208A" w:rsidRPr="000F28BA" w:rsidRDefault="00E3208A" w:rsidP="00E3208A">
                  <w:pPr>
                    <w:jc w:val="right"/>
                    <w:rPr>
                      <w:rFonts w:ascii="Calibri" w:hAnsi="Calibri" w:cs="Calibri"/>
                      <w:color w:val="000000"/>
                      <w:sz w:val="18"/>
                      <w:szCs w:val="18"/>
                    </w:rPr>
                  </w:pPr>
                  <w:r w:rsidRPr="000F28BA">
                    <w:rPr>
                      <w:rFonts w:ascii="Calibri" w:hAnsi="Calibri" w:cs="Calibri"/>
                      <w:color w:val="000000"/>
                      <w:sz w:val="18"/>
                      <w:szCs w:val="18"/>
                    </w:rPr>
                    <w:t>(%)</w:t>
                  </w:r>
                </w:p>
              </w:tc>
              <w:tc>
                <w:tcPr>
                  <w:tcW w:w="1160" w:type="dxa"/>
                  <w:tcBorders>
                    <w:top w:val="nil"/>
                    <w:left w:val="nil"/>
                    <w:bottom w:val="single" w:sz="4" w:space="0" w:color="auto"/>
                    <w:right w:val="single" w:sz="4" w:space="0" w:color="auto"/>
                  </w:tcBorders>
                  <w:shd w:val="clear" w:color="auto" w:fill="auto"/>
                  <w:vAlign w:val="center"/>
                  <w:hideMark/>
                </w:tcPr>
                <w:p w14:paraId="79B0DA1E" w14:textId="64067939"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78,6</w:t>
                  </w:r>
                  <w:r w:rsidRPr="000F28BA">
                    <w:rPr>
                      <w:rFonts w:ascii="Calibri" w:hAnsi="Calibri" w:cs="Calibri"/>
                      <w:color w:val="000000"/>
                      <w:sz w:val="18"/>
                      <w:szCs w:val="18"/>
                    </w:rPr>
                    <w:t>%</w:t>
                  </w:r>
                </w:p>
              </w:tc>
              <w:tc>
                <w:tcPr>
                  <w:tcW w:w="883" w:type="dxa"/>
                  <w:tcBorders>
                    <w:top w:val="nil"/>
                    <w:left w:val="nil"/>
                    <w:bottom w:val="single" w:sz="4" w:space="0" w:color="auto"/>
                    <w:right w:val="single" w:sz="4" w:space="0" w:color="auto"/>
                  </w:tcBorders>
                  <w:shd w:val="clear" w:color="auto" w:fill="auto"/>
                  <w:vAlign w:val="center"/>
                  <w:hideMark/>
                </w:tcPr>
                <w:p w14:paraId="10AC9A40" w14:textId="36C962B2"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21,3</w:t>
                  </w:r>
                  <w:r w:rsidRPr="000F28BA">
                    <w:rPr>
                      <w:rFonts w:ascii="Calibri" w:hAnsi="Calibri" w:cs="Calibri"/>
                      <w:color w:val="000000"/>
                      <w:sz w:val="18"/>
                      <w:szCs w:val="18"/>
                    </w:rPr>
                    <w:t>%</w:t>
                  </w:r>
                </w:p>
              </w:tc>
              <w:tc>
                <w:tcPr>
                  <w:tcW w:w="883" w:type="dxa"/>
                  <w:tcBorders>
                    <w:top w:val="nil"/>
                    <w:left w:val="nil"/>
                    <w:bottom w:val="single" w:sz="4" w:space="0" w:color="auto"/>
                    <w:right w:val="single" w:sz="4" w:space="0" w:color="auto"/>
                  </w:tcBorders>
                  <w:shd w:val="clear" w:color="auto" w:fill="auto"/>
                  <w:vAlign w:val="center"/>
                  <w:hideMark/>
                </w:tcPr>
                <w:p w14:paraId="48A64BB6" w14:textId="13974BF5" w:rsidR="00E3208A" w:rsidRPr="000F28BA" w:rsidRDefault="00E3208A" w:rsidP="00E3208A">
                  <w:pPr>
                    <w:jc w:val="center"/>
                    <w:rPr>
                      <w:rFonts w:ascii="Calibri" w:hAnsi="Calibri" w:cs="Calibri"/>
                      <w:color w:val="000000"/>
                      <w:sz w:val="18"/>
                      <w:szCs w:val="18"/>
                    </w:rPr>
                  </w:pPr>
                  <w:r w:rsidRPr="000F28BA">
                    <w:rPr>
                      <w:rFonts w:ascii="Calibri" w:hAnsi="Calibri" w:cs="Calibri"/>
                      <w:color w:val="000000"/>
                      <w:sz w:val="18"/>
                      <w:szCs w:val="18"/>
                    </w:rPr>
                    <w:t>0,0%</w:t>
                  </w:r>
                </w:p>
              </w:tc>
              <w:tc>
                <w:tcPr>
                  <w:tcW w:w="883" w:type="dxa"/>
                  <w:tcBorders>
                    <w:top w:val="nil"/>
                    <w:left w:val="nil"/>
                    <w:bottom w:val="single" w:sz="4" w:space="0" w:color="auto"/>
                    <w:right w:val="single" w:sz="4" w:space="0" w:color="auto"/>
                  </w:tcBorders>
                  <w:shd w:val="clear" w:color="auto" w:fill="auto"/>
                  <w:vAlign w:val="center"/>
                  <w:hideMark/>
                </w:tcPr>
                <w:p w14:paraId="2EB36361" w14:textId="37D57932" w:rsidR="00E3208A" w:rsidRPr="000F28BA" w:rsidRDefault="00E3208A" w:rsidP="00E3208A">
                  <w:pPr>
                    <w:jc w:val="center"/>
                    <w:rPr>
                      <w:rFonts w:ascii="Calibri" w:hAnsi="Calibri" w:cs="Calibri"/>
                      <w:color w:val="000000"/>
                      <w:sz w:val="18"/>
                      <w:szCs w:val="18"/>
                    </w:rPr>
                  </w:pPr>
                  <w:r w:rsidRPr="000F28BA">
                    <w:rPr>
                      <w:rFonts w:ascii="Calibri" w:hAnsi="Calibri" w:cs="Calibri"/>
                      <w:color w:val="000000"/>
                      <w:sz w:val="18"/>
                      <w:szCs w:val="18"/>
                    </w:rPr>
                    <w:t>0,0%</w:t>
                  </w:r>
                </w:p>
              </w:tc>
              <w:tc>
                <w:tcPr>
                  <w:tcW w:w="883" w:type="dxa"/>
                  <w:tcBorders>
                    <w:top w:val="nil"/>
                    <w:left w:val="nil"/>
                    <w:bottom w:val="single" w:sz="4" w:space="0" w:color="auto"/>
                    <w:right w:val="single" w:sz="4" w:space="0" w:color="auto"/>
                  </w:tcBorders>
                  <w:shd w:val="clear" w:color="auto" w:fill="auto"/>
                  <w:vAlign w:val="center"/>
                  <w:hideMark/>
                </w:tcPr>
                <w:p w14:paraId="32F8470C" w14:textId="5A1D79C6" w:rsidR="00E3208A" w:rsidRPr="000F28BA" w:rsidRDefault="00E3208A" w:rsidP="00E3208A">
                  <w:pPr>
                    <w:jc w:val="center"/>
                    <w:rPr>
                      <w:rFonts w:ascii="Calibri" w:hAnsi="Calibri" w:cs="Calibri"/>
                      <w:color w:val="000000"/>
                      <w:sz w:val="18"/>
                      <w:szCs w:val="18"/>
                    </w:rPr>
                  </w:pPr>
                  <w:r w:rsidRPr="000F28BA">
                    <w:rPr>
                      <w:rFonts w:ascii="Calibri" w:hAnsi="Calibri" w:cs="Calibri"/>
                      <w:color w:val="000000"/>
                      <w:sz w:val="18"/>
                      <w:szCs w:val="18"/>
                    </w:rPr>
                    <w:t>0,0%</w:t>
                  </w:r>
                </w:p>
              </w:tc>
              <w:tc>
                <w:tcPr>
                  <w:tcW w:w="883" w:type="dxa"/>
                  <w:tcBorders>
                    <w:top w:val="nil"/>
                    <w:left w:val="nil"/>
                    <w:bottom w:val="single" w:sz="4" w:space="0" w:color="auto"/>
                    <w:right w:val="single" w:sz="4" w:space="0" w:color="auto"/>
                  </w:tcBorders>
                  <w:shd w:val="clear" w:color="auto" w:fill="auto"/>
                  <w:vAlign w:val="center"/>
                  <w:hideMark/>
                </w:tcPr>
                <w:p w14:paraId="79CA63C8" w14:textId="597434E1" w:rsidR="00E3208A" w:rsidRPr="000F28BA" w:rsidRDefault="00E3208A" w:rsidP="00E3208A">
                  <w:pPr>
                    <w:jc w:val="center"/>
                    <w:rPr>
                      <w:rFonts w:ascii="Calibri" w:hAnsi="Calibri" w:cs="Calibri"/>
                      <w:color w:val="000000"/>
                      <w:sz w:val="18"/>
                      <w:szCs w:val="18"/>
                    </w:rPr>
                  </w:pPr>
                  <w:r w:rsidRPr="000F28BA">
                    <w:rPr>
                      <w:rFonts w:ascii="Calibri" w:hAnsi="Calibri" w:cs="Calibri"/>
                      <w:color w:val="000000"/>
                      <w:sz w:val="18"/>
                      <w:szCs w:val="18"/>
                    </w:rPr>
                    <w:t>0,0%</w:t>
                  </w:r>
                </w:p>
              </w:tc>
              <w:tc>
                <w:tcPr>
                  <w:tcW w:w="883" w:type="dxa"/>
                  <w:tcBorders>
                    <w:top w:val="nil"/>
                    <w:left w:val="nil"/>
                    <w:bottom w:val="single" w:sz="4" w:space="0" w:color="auto"/>
                    <w:right w:val="single" w:sz="4" w:space="0" w:color="auto"/>
                  </w:tcBorders>
                  <w:shd w:val="clear" w:color="auto" w:fill="auto"/>
                  <w:vAlign w:val="center"/>
                  <w:hideMark/>
                </w:tcPr>
                <w:p w14:paraId="6462FA59" w14:textId="6923F7C7"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0,1</w:t>
                  </w:r>
                  <w:r w:rsidRPr="000F28BA">
                    <w:rPr>
                      <w:rFonts w:ascii="Calibri" w:hAnsi="Calibri" w:cs="Calibri"/>
                      <w:color w:val="000000"/>
                      <w:sz w:val="18"/>
                      <w:szCs w:val="18"/>
                    </w:rPr>
                    <w:t>%</w:t>
                  </w:r>
                </w:p>
              </w:tc>
              <w:tc>
                <w:tcPr>
                  <w:tcW w:w="1030" w:type="dxa"/>
                  <w:tcBorders>
                    <w:top w:val="nil"/>
                    <w:left w:val="nil"/>
                    <w:bottom w:val="single" w:sz="4" w:space="0" w:color="auto"/>
                    <w:right w:val="single" w:sz="4" w:space="0" w:color="auto"/>
                  </w:tcBorders>
                  <w:shd w:val="clear" w:color="auto" w:fill="auto"/>
                  <w:vAlign w:val="center"/>
                  <w:hideMark/>
                </w:tcPr>
                <w:p w14:paraId="4241152C" w14:textId="5CD8FC2B"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100</w:t>
                  </w:r>
                  <w:r w:rsidRPr="000F28BA">
                    <w:rPr>
                      <w:rFonts w:ascii="Calibri" w:hAnsi="Calibri" w:cs="Calibri"/>
                      <w:color w:val="000000"/>
                      <w:sz w:val="18"/>
                      <w:szCs w:val="18"/>
                    </w:rPr>
                    <w:t>,00%</w:t>
                  </w:r>
                </w:p>
              </w:tc>
            </w:tr>
            <w:tr w:rsidR="00E3208A" w:rsidRPr="000F28BA" w14:paraId="2D6EE1B7" w14:textId="77777777" w:rsidTr="00E3208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105DBD2C" w14:textId="77777777" w:rsidR="00E3208A" w:rsidRPr="000F28BA" w:rsidRDefault="00E3208A" w:rsidP="00E3208A">
                  <w:pPr>
                    <w:rPr>
                      <w:rFonts w:ascii="Calibri" w:hAnsi="Calibri" w:cs="Calibri"/>
                      <w:b/>
                      <w:bCs/>
                      <w:color w:val="000000"/>
                      <w:sz w:val="18"/>
                      <w:szCs w:val="18"/>
                    </w:rPr>
                  </w:pPr>
                  <w:r w:rsidRPr="000F28BA">
                    <w:rPr>
                      <w:rFonts w:ascii="Calibri" w:hAnsi="Calibri" w:cs="Calibri"/>
                      <w:b/>
                      <w:bCs/>
                      <w:color w:val="000000"/>
                      <w:sz w:val="18"/>
                      <w:szCs w:val="18"/>
                    </w:rPr>
                    <w:t>31.12.2022</w:t>
                  </w:r>
                </w:p>
              </w:tc>
              <w:tc>
                <w:tcPr>
                  <w:tcW w:w="1160" w:type="dxa"/>
                  <w:tcBorders>
                    <w:top w:val="nil"/>
                    <w:left w:val="nil"/>
                    <w:bottom w:val="single" w:sz="4" w:space="0" w:color="auto"/>
                    <w:right w:val="single" w:sz="4" w:space="0" w:color="auto"/>
                  </w:tcBorders>
                  <w:shd w:val="clear" w:color="auto" w:fill="auto"/>
                  <w:vAlign w:val="center"/>
                  <w:hideMark/>
                </w:tcPr>
                <w:p w14:paraId="772F01F2"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476 733</w:t>
                  </w:r>
                </w:p>
              </w:tc>
              <w:tc>
                <w:tcPr>
                  <w:tcW w:w="883" w:type="dxa"/>
                  <w:tcBorders>
                    <w:top w:val="nil"/>
                    <w:left w:val="nil"/>
                    <w:bottom w:val="single" w:sz="4" w:space="0" w:color="auto"/>
                    <w:right w:val="single" w:sz="4" w:space="0" w:color="auto"/>
                  </w:tcBorders>
                  <w:shd w:val="clear" w:color="auto" w:fill="auto"/>
                  <w:vAlign w:val="center"/>
                  <w:hideMark/>
                </w:tcPr>
                <w:p w14:paraId="616A8D42"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49 473</w:t>
                  </w:r>
                </w:p>
              </w:tc>
              <w:tc>
                <w:tcPr>
                  <w:tcW w:w="883" w:type="dxa"/>
                  <w:tcBorders>
                    <w:top w:val="nil"/>
                    <w:left w:val="nil"/>
                    <w:bottom w:val="single" w:sz="4" w:space="0" w:color="auto"/>
                    <w:right w:val="single" w:sz="4" w:space="0" w:color="auto"/>
                  </w:tcBorders>
                  <w:shd w:val="clear" w:color="auto" w:fill="auto"/>
                  <w:vAlign w:val="center"/>
                  <w:hideMark/>
                </w:tcPr>
                <w:p w14:paraId="4FBA0FFE"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1 077</w:t>
                  </w:r>
                </w:p>
              </w:tc>
              <w:tc>
                <w:tcPr>
                  <w:tcW w:w="883" w:type="dxa"/>
                  <w:tcBorders>
                    <w:top w:val="nil"/>
                    <w:left w:val="nil"/>
                    <w:bottom w:val="single" w:sz="4" w:space="0" w:color="auto"/>
                    <w:right w:val="single" w:sz="4" w:space="0" w:color="auto"/>
                  </w:tcBorders>
                  <w:shd w:val="clear" w:color="auto" w:fill="auto"/>
                  <w:vAlign w:val="center"/>
                  <w:hideMark/>
                </w:tcPr>
                <w:p w14:paraId="30045625"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31699F3C"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0</w:t>
                  </w:r>
                </w:p>
              </w:tc>
              <w:tc>
                <w:tcPr>
                  <w:tcW w:w="883" w:type="dxa"/>
                  <w:tcBorders>
                    <w:top w:val="nil"/>
                    <w:left w:val="nil"/>
                    <w:bottom w:val="single" w:sz="4" w:space="0" w:color="auto"/>
                    <w:right w:val="single" w:sz="4" w:space="0" w:color="auto"/>
                  </w:tcBorders>
                  <w:shd w:val="clear" w:color="auto" w:fill="auto"/>
                  <w:vAlign w:val="center"/>
                  <w:hideMark/>
                </w:tcPr>
                <w:p w14:paraId="3C0E99D0"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61 475</w:t>
                  </w:r>
                </w:p>
              </w:tc>
              <w:tc>
                <w:tcPr>
                  <w:tcW w:w="883" w:type="dxa"/>
                  <w:tcBorders>
                    <w:top w:val="nil"/>
                    <w:left w:val="nil"/>
                    <w:bottom w:val="single" w:sz="4" w:space="0" w:color="auto"/>
                    <w:right w:val="single" w:sz="4" w:space="0" w:color="auto"/>
                  </w:tcBorders>
                  <w:shd w:val="clear" w:color="auto" w:fill="auto"/>
                  <w:vAlign w:val="center"/>
                  <w:hideMark/>
                </w:tcPr>
                <w:p w14:paraId="172F9250"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30 707</w:t>
                  </w:r>
                </w:p>
              </w:tc>
              <w:tc>
                <w:tcPr>
                  <w:tcW w:w="1030" w:type="dxa"/>
                  <w:tcBorders>
                    <w:top w:val="nil"/>
                    <w:left w:val="nil"/>
                    <w:bottom w:val="single" w:sz="4" w:space="0" w:color="auto"/>
                    <w:right w:val="single" w:sz="4" w:space="0" w:color="auto"/>
                  </w:tcBorders>
                  <w:shd w:val="clear" w:color="auto" w:fill="auto"/>
                  <w:vAlign w:val="center"/>
                  <w:hideMark/>
                </w:tcPr>
                <w:p w14:paraId="5F57268D" w14:textId="77777777" w:rsidR="00E3208A" w:rsidRPr="000F28BA" w:rsidRDefault="00E3208A" w:rsidP="00E3208A">
                  <w:pPr>
                    <w:jc w:val="center"/>
                    <w:rPr>
                      <w:rFonts w:ascii="Calibri" w:hAnsi="Calibri" w:cs="Calibri"/>
                      <w:b/>
                      <w:bCs/>
                      <w:color w:val="000000"/>
                      <w:sz w:val="18"/>
                      <w:szCs w:val="18"/>
                    </w:rPr>
                  </w:pPr>
                  <w:r w:rsidRPr="000F28BA">
                    <w:rPr>
                      <w:rFonts w:ascii="Calibri" w:hAnsi="Calibri" w:cs="Calibri"/>
                      <w:b/>
                      <w:bCs/>
                      <w:color w:val="000000"/>
                      <w:sz w:val="18"/>
                      <w:szCs w:val="18"/>
                    </w:rPr>
                    <w:t>588 758</w:t>
                  </w:r>
                </w:p>
              </w:tc>
            </w:tr>
            <w:tr w:rsidR="00E3208A" w:rsidRPr="000F28BA" w14:paraId="69901362" w14:textId="77777777" w:rsidTr="00E3208A">
              <w:trPr>
                <w:trHeight w:val="20"/>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11D5F1F0" w14:textId="77777777" w:rsidR="00E3208A" w:rsidRPr="000F28BA" w:rsidRDefault="00E3208A" w:rsidP="00E3208A">
                  <w:pPr>
                    <w:jc w:val="right"/>
                    <w:rPr>
                      <w:rFonts w:ascii="Calibri" w:hAnsi="Calibri" w:cs="Calibri"/>
                      <w:color w:val="000000"/>
                      <w:sz w:val="18"/>
                      <w:szCs w:val="18"/>
                    </w:rPr>
                  </w:pPr>
                  <w:r w:rsidRPr="000F28BA">
                    <w:rPr>
                      <w:rFonts w:ascii="Calibri" w:hAnsi="Calibri" w:cs="Calibri"/>
                      <w:color w:val="000000"/>
                      <w:sz w:val="18"/>
                      <w:szCs w:val="18"/>
                    </w:rPr>
                    <w:t>(%)</w:t>
                  </w:r>
                </w:p>
              </w:tc>
              <w:tc>
                <w:tcPr>
                  <w:tcW w:w="1160" w:type="dxa"/>
                  <w:tcBorders>
                    <w:top w:val="nil"/>
                    <w:left w:val="nil"/>
                    <w:bottom w:val="single" w:sz="4" w:space="0" w:color="auto"/>
                    <w:right w:val="single" w:sz="4" w:space="0" w:color="auto"/>
                  </w:tcBorders>
                  <w:shd w:val="clear" w:color="auto" w:fill="auto"/>
                  <w:vAlign w:val="center"/>
                  <w:hideMark/>
                </w:tcPr>
                <w:p w14:paraId="57AF5077" w14:textId="4C1124A2"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94,7</w:t>
                  </w:r>
                  <w:r w:rsidRPr="000F28BA">
                    <w:rPr>
                      <w:rFonts w:ascii="Calibri" w:hAnsi="Calibri" w:cs="Calibri"/>
                      <w:color w:val="000000"/>
                      <w:sz w:val="18"/>
                      <w:szCs w:val="18"/>
                    </w:rPr>
                    <w:t>%</w:t>
                  </w:r>
                </w:p>
              </w:tc>
              <w:tc>
                <w:tcPr>
                  <w:tcW w:w="883" w:type="dxa"/>
                  <w:tcBorders>
                    <w:top w:val="nil"/>
                    <w:left w:val="nil"/>
                    <w:bottom w:val="single" w:sz="4" w:space="0" w:color="auto"/>
                    <w:right w:val="single" w:sz="4" w:space="0" w:color="auto"/>
                  </w:tcBorders>
                  <w:shd w:val="clear" w:color="auto" w:fill="auto"/>
                  <w:vAlign w:val="center"/>
                  <w:hideMark/>
                </w:tcPr>
                <w:p w14:paraId="7BAEBB9F" w14:textId="5FDA0643"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0,4</w:t>
                  </w:r>
                  <w:r w:rsidRPr="000F28BA">
                    <w:rPr>
                      <w:rFonts w:ascii="Calibri" w:hAnsi="Calibri" w:cs="Calibri"/>
                      <w:color w:val="000000"/>
                      <w:sz w:val="18"/>
                      <w:szCs w:val="18"/>
                    </w:rPr>
                    <w:t>%</w:t>
                  </w:r>
                </w:p>
              </w:tc>
              <w:tc>
                <w:tcPr>
                  <w:tcW w:w="883" w:type="dxa"/>
                  <w:tcBorders>
                    <w:top w:val="nil"/>
                    <w:left w:val="nil"/>
                    <w:bottom w:val="single" w:sz="4" w:space="0" w:color="auto"/>
                    <w:right w:val="single" w:sz="4" w:space="0" w:color="auto"/>
                  </w:tcBorders>
                  <w:shd w:val="clear" w:color="auto" w:fill="auto"/>
                  <w:vAlign w:val="center"/>
                  <w:hideMark/>
                </w:tcPr>
                <w:p w14:paraId="7960AD28" w14:textId="299B5C79"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4,8</w:t>
                  </w:r>
                  <w:r w:rsidRPr="000F28BA">
                    <w:rPr>
                      <w:rFonts w:ascii="Calibri" w:hAnsi="Calibri" w:cs="Calibri"/>
                      <w:color w:val="000000"/>
                      <w:sz w:val="18"/>
                      <w:szCs w:val="18"/>
                    </w:rPr>
                    <w:t>%</w:t>
                  </w:r>
                </w:p>
              </w:tc>
              <w:tc>
                <w:tcPr>
                  <w:tcW w:w="883" w:type="dxa"/>
                  <w:tcBorders>
                    <w:top w:val="nil"/>
                    <w:left w:val="nil"/>
                    <w:bottom w:val="single" w:sz="4" w:space="0" w:color="auto"/>
                    <w:right w:val="single" w:sz="4" w:space="0" w:color="auto"/>
                  </w:tcBorders>
                  <w:shd w:val="clear" w:color="auto" w:fill="auto"/>
                  <w:vAlign w:val="center"/>
                  <w:hideMark/>
                </w:tcPr>
                <w:p w14:paraId="0CDFD50A" w14:textId="2E49B2D9" w:rsidR="00E3208A" w:rsidRPr="000F28BA" w:rsidRDefault="00E3208A" w:rsidP="00E3208A">
                  <w:pPr>
                    <w:jc w:val="center"/>
                    <w:rPr>
                      <w:rFonts w:ascii="Calibri" w:hAnsi="Calibri" w:cs="Calibri"/>
                      <w:color w:val="000000"/>
                      <w:sz w:val="18"/>
                      <w:szCs w:val="18"/>
                    </w:rPr>
                  </w:pPr>
                  <w:r w:rsidRPr="000F28BA">
                    <w:rPr>
                      <w:rFonts w:ascii="Calibri" w:hAnsi="Calibri" w:cs="Calibri"/>
                      <w:color w:val="000000"/>
                      <w:sz w:val="18"/>
                      <w:szCs w:val="18"/>
                    </w:rPr>
                    <w:t>0,0%</w:t>
                  </w:r>
                </w:p>
              </w:tc>
              <w:tc>
                <w:tcPr>
                  <w:tcW w:w="883" w:type="dxa"/>
                  <w:tcBorders>
                    <w:top w:val="nil"/>
                    <w:left w:val="nil"/>
                    <w:bottom w:val="single" w:sz="4" w:space="0" w:color="auto"/>
                    <w:right w:val="single" w:sz="4" w:space="0" w:color="auto"/>
                  </w:tcBorders>
                  <w:shd w:val="clear" w:color="auto" w:fill="auto"/>
                  <w:vAlign w:val="center"/>
                  <w:hideMark/>
                </w:tcPr>
                <w:p w14:paraId="01FC9DB4" w14:textId="5C5EF530" w:rsidR="00E3208A" w:rsidRPr="000F28BA" w:rsidRDefault="00E3208A" w:rsidP="00E3208A">
                  <w:pPr>
                    <w:jc w:val="center"/>
                    <w:rPr>
                      <w:rFonts w:ascii="Calibri" w:hAnsi="Calibri" w:cs="Calibri"/>
                      <w:color w:val="000000"/>
                      <w:sz w:val="18"/>
                      <w:szCs w:val="18"/>
                    </w:rPr>
                  </w:pPr>
                  <w:r w:rsidRPr="000F28BA">
                    <w:rPr>
                      <w:rFonts w:ascii="Calibri" w:hAnsi="Calibri" w:cs="Calibri"/>
                      <w:color w:val="000000"/>
                      <w:sz w:val="18"/>
                      <w:szCs w:val="18"/>
                    </w:rPr>
                    <w:t>0,0%</w:t>
                  </w:r>
                </w:p>
              </w:tc>
              <w:tc>
                <w:tcPr>
                  <w:tcW w:w="883" w:type="dxa"/>
                  <w:tcBorders>
                    <w:top w:val="nil"/>
                    <w:left w:val="nil"/>
                    <w:bottom w:val="single" w:sz="4" w:space="0" w:color="auto"/>
                    <w:right w:val="single" w:sz="4" w:space="0" w:color="auto"/>
                  </w:tcBorders>
                  <w:shd w:val="clear" w:color="auto" w:fill="auto"/>
                  <w:vAlign w:val="center"/>
                  <w:hideMark/>
                </w:tcPr>
                <w:p w14:paraId="533AB74A" w14:textId="41F121C8"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0,0</w:t>
                  </w:r>
                  <w:r w:rsidRPr="000F28BA">
                    <w:rPr>
                      <w:rFonts w:ascii="Calibri" w:hAnsi="Calibri" w:cs="Calibri"/>
                      <w:color w:val="000000"/>
                      <w:sz w:val="18"/>
                      <w:szCs w:val="18"/>
                    </w:rPr>
                    <w:t>%</w:t>
                  </w:r>
                </w:p>
              </w:tc>
              <w:tc>
                <w:tcPr>
                  <w:tcW w:w="883" w:type="dxa"/>
                  <w:tcBorders>
                    <w:top w:val="nil"/>
                    <w:left w:val="nil"/>
                    <w:bottom w:val="single" w:sz="4" w:space="0" w:color="auto"/>
                    <w:right w:val="single" w:sz="4" w:space="0" w:color="auto"/>
                  </w:tcBorders>
                  <w:shd w:val="clear" w:color="auto" w:fill="auto"/>
                  <w:vAlign w:val="center"/>
                  <w:hideMark/>
                </w:tcPr>
                <w:p w14:paraId="0E9674DE" w14:textId="5E540C99" w:rsidR="00E3208A" w:rsidRPr="000F28BA" w:rsidRDefault="00E3208A" w:rsidP="00E3208A">
                  <w:pPr>
                    <w:jc w:val="center"/>
                    <w:rPr>
                      <w:rFonts w:ascii="Calibri" w:hAnsi="Calibri" w:cs="Calibri"/>
                      <w:color w:val="000000"/>
                      <w:sz w:val="18"/>
                      <w:szCs w:val="18"/>
                    </w:rPr>
                  </w:pPr>
                  <w:r>
                    <w:rPr>
                      <w:rFonts w:ascii="Calibri" w:hAnsi="Calibri" w:cs="Calibri"/>
                      <w:color w:val="000000"/>
                      <w:sz w:val="18"/>
                      <w:szCs w:val="18"/>
                    </w:rPr>
                    <w:t>0,0</w:t>
                  </w:r>
                  <w:r w:rsidRPr="000F28BA">
                    <w:rPr>
                      <w:rFonts w:ascii="Calibri" w:hAnsi="Calibri" w:cs="Calibri"/>
                      <w:color w:val="000000"/>
                      <w:sz w:val="18"/>
                      <w:szCs w:val="18"/>
                    </w:rPr>
                    <w:t>%</w:t>
                  </w:r>
                </w:p>
              </w:tc>
              <w:tc>
                <w:tcPr>
                  <w:tcW w:w="1030" w:type="dxa"/>
                  <w:tcBorders>
                    <w:top w:val="nil"/>
                    <w:left w:val="nil"/>
                    <w:bottom w:val="single" w:sz="4" w:space="0" w:color="auto"/>
                    <w:right w:val="single" w:sz="4" w:space="0" w:color="auto"/>
                  </w:tcBorders>
                  <w:shd w:val="clear" w:color="auto" w:fill="auto"/>
                  <w:vAlign w:val="center"/>
                  <w:hideMark/>
                </w:tcPr>
                <w:p w14:paraId="647EA515" w14:textId="77777777" w:rsidR="00E3208A" w:rsidRPr="000F28BA" w:rsidRDefault="00E3208A" w:rsidP="00E3208A">
                  <w:pPr>
                    <w:jc w:val="center"/>
                    <w:rPr>
                      <w:rFonts w:ascii="Calibri" w:hAnsi="Calibri" w:cs="Calibri"/>
                      <w:color w:val="000000"/>
                      <w:sz w:val="18"/>
                      <w:szCs w:val="18"/>
                    </w:rPr>
                  </w:pPr>
                  <w:r w:rsidRPr="000F28BA">
                    <w:rPr>
                      <w:rFonts w:ascii="Calibri" w:hAnsi="Calibri" w:cs="Calibri"/>
                      <w:color w:val="000000"/>
                      <w:sz w:val="18"/>
                      <w:szCs w:val="18"/>
                    </w:rPr>
                    <w:t>95,00%</w:t>
                  </w:r>
                </w:p>
              </w:tc>
            </w:tr>
          </w:tbl>
          <w:p w14:paraId="5A2F6AF7" w14:textId="1F7581E2" w:rsidR="00F92BDF" w:rsidRDefault="00000000">
            <w:r>
              <w:br/>
            </w:r>
          </w:p>
        </w:tc>
      </w:tr>
      <w:tr w:rsidR="00BA2335" w:rsidRPr="0052584F" w14:paraId="0517E51D" w14:textId="77777777" w:rsidTr="00112486">
        <w:tblPrEx>
          <w:tblCellMar>
            <w:left w:w="70" w:type="dxa"/>
            <w:right w:w="70" w:type="dxa"/>
          </w:tblCellMar>
        </w:tblPrEx>
        <w:trPr>
          <w:trHeight w:val="528"/>
        </w:trPr>
        <w:tc>
          <w:tcPr>
            <w:tcW w:w="10377" w:type="dxa"/>
            <w:gridSpan w:val="2"/>
            <w:shd w:val="clear" w:color="auto" w:fill="auto"/>
          </w:tcPr>
          <w:p w14:paraId="4BF15A09" w14:textId="73A30D06" w:rsidR="00F92BDF" w:rsidRDefault="00000000">
            <w:r>
              <w:lastRenderedPageBreak/>
              <w:t xml:space="preserve">Seasonality: </w:t>
            </w:r>
            <w:r w:rsidR="00CB6396">
              <w:t>No</w:t>
            </w:r>
            <w:r>
              <w:br/>
              <w:t>no general seasonality observed in automotive industry; only small portion of FERROTECH’s output goes to construction industry, but no significant impact</w:t>
            </w:r>
          </w:p>
        </w:tc>
      </w:tr>
      <w:tr w:rsidR="009C5379" w:rsidRPr="0052584F" w14:paraId="75A11BDB" w14:textId="77777777" w:rsidTr="00112486">
        <w:tblPrEx>
          <w:tblCellMar>
            <w:left w:w="70" w:type="dxa"/>
            <w:right w:w="70" w:type="dxa"/>
          </w:tblCellMar>
        </w:tblPrEx>
        <w:trPr>
          <w:trHeight w:val="568"/>
        </w:trPr>
        <w:tc>
          <w:tcPr>
            <w:tcW w:w="10377" w:type="dxa"/>
            <w:gridSpan w:val="2"/>
            <w:shd w:val="clear" w:color="auto" w:fill="auto"/>
          </w:tcPr>
          <w:p w14:paraId="00BD34D9" w14:textId="77777777" w:rsidR="00F92BDF" w:rsidRDefault="00000000">
            <w:r>
              <w:t>Strategy:</w:t>
            </w:r>
            <w:r>
              <w:br/>
              <w:t>CAPEX into new technology in process = wider portfolio; lower idle times, reduction of scrap</w:t>
            </w:r>
            <w:r>
              <w:br/>
              <w:t>Automotive still perceived as the key segment</w:t>
            </w:r>
          </w:p>
        </w:tc>
      </w:tr>
      <w:tr w:rsidR="00BA2335" w:rsidRPr="0052584F" w14:paraId="3784AA19" w14:textId="77777777" w:rsidTr="001B4094">
        <w:tblPrEx>
          <w:tblCellMar>
            <w:left w:w="70" w:type="dxa"/>
            <w:right w:w="70" w:type="dxa"/>
          </w:tblCellMar>
        </w:tblPrEx>
        <w:trPr>
          <w:trHeight w:val="397"/>
        </w:trPr>
        <w:tc>
          <w:tcPr>
            <w:tcW w:w="10377" w:type="dxa"/>
            <w:gridSpan w:val="2"/>
            <w:shd w:val="clear" w:color="auto" w:fill="auto"/>
          </w:tcPr>
          <w:p w14:paraId="40B69526" w14:textId="154FDEE3" w:rsidR="00F92BDF" w:rsidRDefault="00000000">
            <w:r>
              <w:t>Management:</w:t>
            </w:r>
            <w:r>
              <w:br/>
              <w:t xml:space="preserve">key decisions done by Mr. </w:t>
            </w:r>
            <w:r w:rsidR="00973EEC">
              <w:t>Novák</w:t>
            </w:r>
            <w:r>
              <w:t xml:space="preserve"> who is supported by Mr. Hruby</w:t>
            </w:r>
            <w:r>
              <w:br/>
              <w:t xml:space="preserve">brother of Mr. </w:t>
            </w:r>
            <w:r w:rsidR="00285CCD">
              <w:t>Novák</w:t>
            </w:r>
            <w:r>
              <w:t xml:space="preserve"> is 12Y younger and is active as vice-chairment of the board –&gt; i.e possible sucessor</w:t>
            </w:r>
          </w:p>
        </w:tc>
      </w:tr>
      <w:tr w:rsidR="00581AE6" w:rsidRPr="0052584F" w14:paraId="4336DB24" w14:textId="77777777" w:rsidTr="001B4094">
        <w:tblPrEx>
          <w:tblCellMar>
            <w:left w:w="70" w:type="dxa"/>
            <w:right w:w="70" w:type="dxa"/>
          </w:tblCellMar>
        </w:tblPrEx>
        <w:trPr>
          <w:trHeight w:val="773"/>
        </w:trPr>
        <w:tc>
          <w:tcPr>
            <w:tcW w:w="10377" w:type="dxa"/>
            <w:gridSpan w:val="2"/>
            <w:shd w:val="clear" w:color="auto" w:fill="auto"/>
          </w:tcPr>
          <w:p w14:paraId="777E4C02" w14:textId="4FBA5B5F" w:rsidR="00F92BDF" w:rsidRDefault="00000000">
            <w:r>
              <w:t>Backlog:</w:t>
            </w:r>
            <w:r>
              <w:br/>
              <w:t>Orders on hand</w:t>
            </w:r>
            <w:r w:rsidR="00D6035F">
              <w:t>: Not relevant</w:t>
            </w:r>
            <w:r>
              <w:br/>
              <w:t>Backlog</w:t>
            </w:r>
            <w:r w:rsidR="00D6035F">
              <w:t>: Not relevant</w:t>
            </w:r>
          </w:p>
        </w:tc>
      </w:tr>
    </w:tbl>
    <w:p w14:paraId="2A81DC01" w14:textId="77777777" w:rsidR="00BA2335" w:rsidRPr="0089526E" w:rsidRDefault="00BA2335" w:rsidP="00112486">
      <w:pPr>
        <w:pStyle w:val="Heading2"/>
      </w:pPr>
      <w:r>
        <w:t>Industry / Market Analysis</w:t>
      </w: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6"/>
        <w:gridCol w:w="2551"/>
      </w:tblGrid>
      <w:tr w:rsidR="00BA2335" w:rsidRPr="0052584F" w14:paraId="3C51BF50" w14:textId="77777777" w:rsidTr="00B0524E">
        <w:trPr>
          <w:trHeight w:val="379"/>
        </w:trPr>
        <w:tc>
          <w:tcPr>
            <w:tcW w:w="7826" w:type="dxa"/>
            <w:tcBorders>
              <w:bottom w:val="single" w:sz="4" w:space="0" w:color="auto"/>
            </w:tcBorders>
            <w:shd w:val="clear" w:color="auto" w:fill="CCFFFF"/>
            <w:vAlign w:val="center"/>
          </w:tcPr>
          <w:p w14:paraId="52E1E9BB" w14:textId="67C7128C" w:rsidR="00F92BDF" w:rsidRDefault="00000000">
            <w:r>
              <w:t xml:space="preserve">Industry risk Automobile Parts &amp; Equipment: </w:t>
            </w:r>
            <w:r w:rsidR="00311DA3">
              <w:t>High</w:t>
            </w:r>
          </w:p>
        </w:tc>
        <w:tc>
          <w:tcPr>
            <w:tcW w:w="2551" w:type="dxa"/>
            <w:tcBorders>
              <w:bottom w:val="single" w:sz="4" w:space="0" w:color="auto"/>
            </w:tcBorders>
            <w:shd w:val="clear" w:color="auto" w:fill="CCFFFF"/>
            <w:vAlign w:val="center"/>
          </w:tcPr>
          <w:p w14:paraId="3FD07CD5" w14:textId="7EEBFD02" w:rsidR="00F92BDF" w:rsidRDefault="00000000">
            <w:r>
              <w:t xml:space="preserve">Outlook: </w:t>
            </w:r>
            <w:r w:rsidR="00311DA3">
              <w:t>Slow Growth</w:t>
            </w:r>
          </w:p>
        </w:tc>
      </w:tr>
      <w:tr w:rsidR="00BA2335" w:rsidRPr="0052584F" w14:paraId="56934DF9" w14:textId="77777777" w:rsidTr="001B4094">
        <w:trPr>
          <w:trHeight w:val="613"/>
        </w:trPr>
        <w:tc>
          <w:tcPr>
            <w:tcW w:w="10377" w:type="dxa"/>
            <w:gridSpan w:val="2"/>
            <w:tcBorders>
              <w:top w:val="single" w:sz="4" w:space="0" w:color="auto"/>
              <w:bottom w:val="single" w:sz="4" w:space="0" w:color="auto"/>
            </w:tcBorders>
            <w:shd w:val="clear" w:color="auto" w:fill="auto"/>
          </w:tcPr>
          <w:p w14:paraId="272521ED" w14:textId="1B797445" w:rsidR="00F92BDF" w:rsidRDefault="00000000">
            <w:r>
              <w:t>Industry characteristics:</w:t>
            </w:r>
            <w:r>
              <w:br/>
            </w:r>
            <w:r w:rsidR="005B2F3D">
              <w:t>Cyclical</w:t>
            </w:r>
            <w:r>
              <w:t xml:space="preserve"> industry</w:t>
            </w:r>
            <w:r>
              <w:br/>
              <w:t>Cyclical – high dependency on automotive</w:t>
            </w:r>
            <w:r>
              <w:br/>
              <w:t>Barriers to entry - CAPEX intensive business</w:t>
            </w:r>
            <w:r>
              <w:br/>
              <w:t xml:space="preserve">Higher production and R&amp;D costs for electrification. </w:t>
            </w:r>
            <w:r>
              <w:br/>
              <w:t>High volatility of prices of steel</w:t>
            </w:r>
            <w:r>
              <w:br/>
              <w:t>Visible supply chain bottlenecks in 2021 and 2022 with recovery in 2023</w:t>
            </w:r>
            <w:r>
              <w:br/>
              <w:t>Geopolitical tensions and protectionism: possible import duty negotiated for cars produced in China</w:t>
            </w:r>
          </w:p>
        </w:tc>
      </w:tr>
      <w:tr w:rsidR="00BA2335" w:rsidRPr="0052584F" w14:paraId="1D24943B" w14:textId="77777777" w:rsidTr="001B4094">
        <w:trPr>
          <w:trHeight w:val="613"/>
        </w:trPr>
        <w:tc>
          <w:tcPr>
            <w:tcW w:w="10377" w:type="dxa"/>
            <w:gridSpan w:val="2"/>
            <w:tcBorders>
              <w:top w:val="single" w:sz="4" w:space="0" w:color="auto"/>
              <w:bottom w:val="single" w:sz="4" w:space="0" w:color="auto"/>
            </w:tcBorders>
            <w:shd w:val="clear" w:color="auto" w:fill="auto"/>
          </w:tcPr>
          <w:p w14:paraId="6C23313B" w14:textId="7BE52043" w:rsidR="00F92BDF" w:rsidRDefault="00000000">
            <w:r>
              <w:t>Industry development:</w:t>
            </w:r>
            <w:r>
              <w:br/>
              <w:t xml:space="preserve">Development: </w:t>
            </w:r>
            <w:r w:rsidR="004602FB">
              <w:t>Up</w:t>
            </w:r>
            <w:r>
              <w:br/>
              <w:t>FERROTECH active mainly on domestic market but domestic automotive industry is strongly oriented on export mainly in EU =&gt; EU market considered as relevant</w:t>
            </w:r>
            <w:r>
              <w:br/>
              <w:t>EU passenger cars sales concluded solid 13.9% growth in 2023 to 10.5mn units. Nevertheless December was the first months of contraction after 16 months but for Jan and Feb 2024 increase reported</w:t>
            </w:r>
            <w:r>
              <w:br/>
              <w:t>Softer electric vehicles (EV) momentum to affect pricing and CAPEX</w:t>
            </w:r>
            <w:r>
              <w:br/>
              <w:t xml:space="preserve">China is no longer seen as driving global auto demand growth in 2024 and 2025. Global demand growth 1-3% in 2024 and 2-4% in 2025 </w:t>
            </w:r>
          </w:p>
        </w:tc>
      </w:tr>
      <w:tr w:rsidR="006D5916" w:rsidRPr="0052584F" w14:paraId="738691CC" w14:textId="77777777" w:rsidTr="001B4094">
        <w:trPr>
          <w:trHeight w:val="613"/>
        </w:trPr>
        <w:tc>
          <w:tcPr>
            <w:tcW w:w="10377" w:type="dxa"/>
            <w:gridSpan w:val="2"/>
            <w:tcBorders>
              <w:top w:val="single" w:sz="4" w:space="0" w:color="auto"/>
              <w:bottom w:val="single" w:sz="4" w:space="0" w:color="auto"/>
            </w:tcBorders>
            <w:shd w:val="clear" w:color="auto" w:fill="auto"/>
          </w:tcPr>
          <w:p w14:paraId="1F574F36" w14:textId="77777777" w:rsidR="00F92BDF" w:rsidRDefault="00000000">
            <w:r>
              <w:t xml:space="preserve">Steel market / prices development: </w:t>
            </w:r>
            <w:r>
              <w:br/>
              <w:t xml:space="preserve">Global overproduction of crude steel, until 2020 mainly due to large Chinese overcapacities (more than EU+US annual production together) – exporting steel -&gt; importing countries react with anti-dumping measures, in 2020 change of the situation due to COVID. The Chinese government decided in the second half of 2020 to support the economy with large-scale infrastructure and construction projects. Within a few months, “the world's largest exporter became a net importer”. The price of steel in China was in 2021 </w:t>
            </w:r>
            <w:r>
              <w:lastRenderedPageBreak/>
              <w:t>the highest since 2008 =&gt; the steel price nearly doubled during 12M ending 5/2021. This was followed by decrease of prices that was interrupted during UAxRU war outbreak when prices increased again. During 2022 and 2023 return to pre-pandemic values but visible volatility. Prices at the end of 2023 by 5% lower compared of the beginning year but in 1H/2023 price correction reached more than 15%</w:t>
            </w:r>
            <w:r>
              <w:br/>
            </w:r>
          </w:p>
        </w:tc>
      </w:tr>
      <w:tr w:rsidR="00BA2335" w:rsidRPr="0052584F" w14:paraId="2BC40F0A" w14:textId="77777777" w:rsidTr="001B4094">
        <w:trPr>
          <w:trHeight w:val="613"/>
        </w:trPr>
        <w:tc>
          <w:tcPr>
            <w:tcW w:w="10377" w:type="dxa"/>
            <w:gridSpan w:val="2"/>
            <w:tcBorders>
              <w:top w:val="single" w:sz="4" w:space="0" w:color="auto"/>
              <w:bottom w:val="single" w:sz="4" w:space="0" w:color="auto"/>
            </w:tcBorders>
            <w:shd w:val="clear" w:color="auto" w:fill="auto"/>
          </w:tcPr>
          <w:p w14:paraId="0C942E62" w14:textId="6B423F63" w:rsidR="00F92BDF" w:rsidRDefault="00000000">
            <w:r>
              <w:lastRenderedPageBreak/>
              <w:t>Market position + structure:</w:t>
            </w:r>
            <w:r>
              <w:br/>
              <w:t xml:space="preserve">Market position: </w:t>
            </w:r>
            <w:r w:rsidR="00F30BA7">
              <w:t>Solid</w:t>
            </w:r>
            <w:r>
              <w:br/>
              <w:t xml:space="preserve">Main local competitor is SteelFusion Co., a.s. – member of IronSphere Group, also a Bank client, halls located in </w:t>
            </w:r>
            <w:r w:rsidR="00455807" w:rsidRPr="00455807">
              <w:t>Riverbend</w:t>
            </w:r>
            <w:r>
              <w:t>, which is a good geographical position in terms of short distance to Central City =&gt; company’s main advantage is flexible just-in-time delivery for AutoMasters Ltd.. Contracts with AutoMasters Ltd. involve an obligation for SteelFusion Co. to permanently keep specific amount of material &amp; supplies for possible fluctuation of demand.</w:t>
            </w:r>
            <w:r>
              <w:br/>
              <w:t>Another peers seen in TechForge Solutions (member of international Group) with similar activity but is not strictly focused on automotive as FERROTECH or SteelFusion Co.</w:t>
            </w:r>
            <w:r>
              <w:br/>
            </w:r>
          </w:p>
        </w:tc>
      </w:tr>
      <w:tr w:rsidR="00BA2335" w:rsidRPr="0052584F" w14:paraId="5A60943A" w14:textId="77777777" w:rsidTr="001B4094">
        <w:trPr>
          <w:trHeight w:val="613"/>
        </w:trPr>
        <w:tc>
          <w:tcPr>
            <w:tcW w:w="10377" w:type="dxa"/>
            <w:gridSpan w:val="2"/>
            <w:tcBorders>
              <w:top w:val="single" w:sz="4" w:space="0" w:color="auto"/>
              <w:bottom w:val="single" w:sz="4" w:space="0" w:color="auto"/>
            </w:tcBorders>
            <w:shd w:val="clear" w:color="auto" w:fill="auto"/>
          </w:tcPr>
          <w:p w14:paraId="1B81B745" w14:textId="485A7F4E" w:rsidR="00F92BDF" w:rsidRDefault="00000000">
            <w:r>
              <w:t>Peer analysis:</w:t>
            </w:r>
            <w:r>
              <w:br/>
              <w:t xml:space="preserve">Company´s performance: </w:t>
            </w:r>
            <w:r w:rsidR="009D7019">
              <w:t>In line</w:t>
            </w:r>
            <w:r>
              <w:br/>
              <w:t>Assessment difficult because last 3 years influenced by high volatility and supply chain shortages that allowed higher margins in the industry esp. in 2021 and 2022</w:t>
            </w:r>
            <w:r>
              <w:br/>
              <w:t xml:space="preserve">However findings are following: 1) FERROTECH increased its margins at most among peers and shows best performance vs. </w:t>
            </w:r>
            <w:r w:rsidR="00950DA7">
              <w:t xml:space="preserve">TechForge Solutions </w:t>
            </w:r>
            <w:r>
              <w:t>with much lower margins even in good years, 2) leverage comparable with SteelFusion Co., 3) EqR highest among peers, 4) inventory period largest comparable to SteelFusion Co.</w:t>
            </w:r>
            <w:r>
              <w:br/>
              <w:t xml:space="preserve">Evaluation set conservatively as reality is somewhere between In line and Better </w:t>
            </w:r>
          </w:p>
        </w:tc>
      </w:tr>
    </w:tbl>
    <w:p w14:paraId="46235DD2" w14:textId="77777777" w:rsidR="00F632EB" w:rsidRDefault="00F632EB" w:rsidP="00F632EB">
      <w:pPr>
        <w:pStyle w:val="Heading2"/>
        <w:numPr>
          <w:ilvl w:val="0"/>
          <w:numId w:val="0"/>
        </w:numPr>
      </w:pPr>
    </w:p>
    <w:p w14:paraId="55D31894" w14:textId="77777777" w:rsidR="00F632EB" w:rsidRDefault="00F632EB">
      <w:pPr>
        <w:spacing w:after="200" w:line="276" w:lineRule="auto"/>
        <w:rPr>
          <w:rFonts w:ascii="Futura" w:hAnsi="Futura" w:cs="Arial"/>
          <w:b/>
          <w:bCs/>
          <w:sz w:val="22"/>
          <w:szCs w:val="19"/>
          <w:lang w:val="en-US"/>
        </w:rPr>
      </w:pPr>
      <w:r>
        <w:br/>
      </w:r>
    </w:p>
    <w:p w14:paraId="1E62D70F" w14:textId="77777777" w:rsidR="00BA2335" w:rsidRPr="00C47BD9" w:rsidRDefault="00BA2335" w:rsidP="00112486">
      <w:pPr>
        <w:pStyle w:val="Heading2"/>
      </w:pPr>
      <w:r>
        <w:t>Bank Position Evaluation</w:t>
      </w: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4"/>
        <w:gridCol w:w="1843"/>
      </w:tblGrid>
      <w:tr w:rsidR="00BA2335" w:rsidRPr="0052584F" w14:paraId="4CDB2118" w14:textId="77777777" w:rsidTr="001B4094">
        <w:trPr>
          <w:trHeight w:val="418"/>
        </w:trPr>
        <w:tc>
          <w:tcPr>
            <w:tcW w:w="8534" w:type="dxa"/>
            <w:tcBorders>
              <w:top w:val="single" w:sz="4" w:space="0" w:color="auto"/>
            </w:tcBorders>
            <w:shd w:val="clear" w:color="auto" w:fill="CCFFFF"/>
            <w:vAlign w:val="center"/>
          </w:tcPr>
          <w:p w14:paraId="50E12680" w14:textId="06F01470" w:rsidR="00F92BDF" w:rsidRDefault="00000000">
            <w:r>
              <w:t xml:space="preserve">Bank position risk: </w:t>
            </w:r>
            <w:r w:rsidR="00862167">
              <w:t>Moderate</w:t>
            </w:r>
          </w:p>
        </w:tc>
        <w:tc>
          <w:tcPr>
            <w:tcW w:w="1843" w:type="dxa"/>
            <w:tcBorders>
              <w:top w:val="single" w:sz="4" w:space="0" w:color="auto"/>
            </w:tcBorders>
            <w:shd w:val="clear" w:color="auto" w:fill="CCFFFF"/>
            <w:vAlign w:val="center"/>
          </w:tcPr>
          <w:p w14:paraId="688EE459" w14:textId="68D8B46F" w:rsidR="00F92BDF" w:rsidRDefault="00000000">
            <w:r>
              <w:t xml:space="preserve">Outlook: </w:t>
            </w:r>
            <w:r w:rsidR="00C103F2">
              <w:t>Stable</w:t>
            </w:r>
          </w:p>
        </w:tc>
      </w:tr>
      <w:tr w:rsidR="00BA2335" w:rsidRPr="0052584F" w14:paraId="1EDEF938" w14:textId="77777777" w:rsidTr="001B4094">
        <w:tblPrEx>
          <w:tblCellMar>
            <w:left w:w="70" w:type="dxa"/>
            <w:right w:w="70" w:type="dxa"/>
          </w:tblCellMar>
        </w:tblPrEx>
        <w:trPr>
          <w:trHeight w:val="195"/>
        </w:trPr>
        <w:tc>
          <w:tcPr>
            <w:tcW w:w="10377" w:type="dxa"/>
            <w:gridSpan w:val="2"/>
            <w:shd w:val="clear" w:color="auto" w:fill="auto"/>
          </w:tcPr>
          <w:p w14:paraId="0D916BBD" w14:textId="69E5FA1A" w:rsidR="00F92BDF" w:rsidRDefault="00000000">
            <w:r>
              <w:t xml:space="preserve">In 2Q/2017 bilateral financing of the main banks </w:t>
            </w:r>
            <w:r w:rsidR="008E4DA8">
              <w:t>OneBank</w:t>
            </w:r>
            <w:r>
              <w:t xml:space="preserve"> and Bank (plus USD 918 from CapitalOne Bank) was replaced by syndicated facility USD 987 (thereof USD 900 amortized loan); </w:t>
            </w:r>
            <w:r w:rsidR="002406F1">
              <w:t>OneBank</w:t>
            </w:r>
            <w:r>
              <w:t xml:space="preserve"> keeps 58.3% take and Bank 41.7%; ST limit increased by USD 874 in 2022</w:t>
            </w:r>
            <w:r>
              <w:br/>
              <w:t>In 1/2021 new amortized loan USD 704 approved by syndicate</w:t>
            </w:r>
            <w:r>
              <w:br/>
              <w:t>During 2023 regular payments done plus pre-mature repayments of the USD 933 loan = as of 12/2023 FERROTECH without amortized loans</w:t>
            </w:r>
            <w:r>
              <w:br/>
              <w:t>All loans drawn in EUR</w:t>
            </w:r>
            <w:r>
              <w:br/>
              <w:t xml:space="preserve">Free credit lines: </w:t>
            </w:r>
            <w:r w:rsidR="00FB4380">
              <w:t>Yes, free credit lines are available</w:t>
            </w:r>
            <w:r w:rsidR="002B6DE0">
              <w:t>.</w:t>
            </w:r>
            <w:r>
              <w:t xml:space="preserve"> </w:t>
            </w:r>
            <w:r w:rsidR="002B6DE0">
              <w:t>N</w:t>
            </w:r>
            <w:r>
              <w:t>o amortized loans, ST limits drawn only partly</w:t>
            </w:r>
          </w:p>
        </w:tc>
      </w:tr>
      <w:tr w:rsidR="00DC6B6D" w:rsidRPr="0052584F" w14:paraId="37D5270E" w14:textId="77777777" w:rsidTr="001B4094">
        <w:tblPrEx>
          <w:tblCellMar>
            <w:left w:w="70" w:type="dxa"/>
            <w:right w:w="70" w:type="dxa"/>
          </w:tblCellMar>
        </w:tblPrEx>
        <w:trPr>
          <w:trHeight w:val="195"/>
        </w:trPr>
        <w:tc>
          <w:tcPr>
            <w:tcW w:w="10377" w:type="dxa"/>
            <w:gridSpan w:val="2"/>
            <w:shd w:val="clear" w:color="auto" w:fill="auto"/>
          </w:tcPr>
          <w:p w14:paraId="6B0B9EBA" w14:textId="77777777" w:rsidR="00F92BDF" w:rsidRDefault="00000000">
            <w:r>
              <w:t>Payment flow:</w:t>
            </w:r>
            <w:r>
              <w:br/>
              <w:t>Credit T/O in last 12M: payment traffic regular; for last 12M incoming payments USD 540 = 23% share that is below 42% share on Bank’ take on financing</w:t>
            </w:r>
            <w:r>
              <w:br/>
            </w:r>
            <w:r>
              <w:br/>
            </w:r>
          </w:p>
        </w:tc>
      </w:tr>
    </w:tbl>
    <w:p w14:paraId="074803B4" w14:textId="77777777" w:rsidR="00BA2335" w:rsidRPr="008E749C" w:rsidRDefault="00C17A05" w:rsidP="00112486">
      <w:pPr>
        <w:pStyle w:val="Heading2"/>
      </w:pPr>
      <w:r>
        <w:t>FX risk Evaluation</w:t>
      </w: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4"/>
        <w:gridCol w:w="1843"/>
      </w:tblGrid>
      <w:tr w:rsidR="00BA2335" w:rsidRPr="0052584F" w14:paraId="15F85257" w14:textId="77777777" w:rsidTr="001B4094">
        <w:trPr>
          <w:trHeight w:val="455"/>
        </w:trPr>
        <w:tc>
          <w:tcPr>
            <w:tcW w:w="8534" w:type="dxa"/>
            <w:tcBorders>
              <w:bottom w:val="single" w:sz="4" w:space="0" w:color="auto"/>
            </w:tcBorders>
            <w:shd w:val="clear" w:color="auto" w:fill="CCFFFF"/>
            <w:vAlign w:val="center"/>
          </w:tcPr>
          <w:p w14:paraId="70C2CC08" w14:textId="61C5893A" w:rsidR="00F92BDF" w:rsidRDefault="00000000">
            <w:r>
              <w:t xml:space="preserve">FX risk: </w:t>
            </w:r>
            <w:r w:rsidR="0024187C">
              <w:t>Moderate</w:t>
            </w:r>
          </w:p>
        </w:tc>
        <w:tc>
          <w:tcPr>
            <w:tcW w:w="1843" w:type="dxa"/>
            <w:tcBorders>
              <w:bottom w:val="single" w:sz="4" w:space="0" w:color="auto"/>
            </w:tcBorders>
            <w:shd w:val="clear" w:color="auto" w:fill="CCFFFF"/>
            <w:vAlign w:val="center"/>
          </w:tcPr>
          <w:p w14:paraId="7C1A3F38" w14:textId="5CE65964" w:rsidR="00F92BDF" w:rsidRDefault="00000000">
            <w:r>
              <w:t xml:space="preserve">Outlook: </w:t>
            </w:r>
            <w:r w:rsidR="0024187C">
              <w:t>Stable</w:t>
            </w:r>
          </w:p>
        </w:tc>
      </w:tr>
      <w:tr w:rsidR="00BA2335" w:rsidRPr="0052584F" w14:paraId="07A985ED" w14:textId="77777777" w:rsidTr="001B4094">
        <w:tblPrEx>
          <w:tblCellMar>
            <w:left w:w="70" w:type="dxa"/>
            <w:right w:w="70" w:type="dxa"/>
          </w:tblCellMar>
        </w:tblPrEx>
        <w:tc>
          <w:tcPr>
            <w:tcW w:w="10377" w:type="dxa"/>
            <w:gridSpan w:val="2"/>
            <w:tcBorders>
              <w:bottom w:val="single" w:sz="4" w:space="0" w:color="auto"/>
            </w:tcBorders>
            <w:shd w:val="clear" w:color="auto" w:fill="auto"/>
          </w:tcPr>
          <w:p w14:paraId="727B84FB" w14:textId="4F2653F0" w:rsidR="00F92BDF" w:rsidRDefault="00000000">
            <w:r>
              <w:lastRenderedPageBreak/>
              <w:t>Company’s primary operating currency is EUR and drawn loan also in EUR</w:t>
            </w:r>
            <w:r>
              <w:br/>
              <w:t>Open FX position USD 237.5mn is even reduced by repayments and IE in EUR =&gt; open FX position only USD 779.7mn =  7% of revenues and background mainly in PEREX paid in USD</w:t>
            </w:r>
            <w:r>
              <w:br/>
              <w:t>No financial hedging instruments in place</w:t>
            </w:r>
            <w:r>
              <w:br/>
              <w:t>Majority of OFI/OFE represented by FX gains/losses; for 2023 realized netto loss USD 545.5mn and non-realized netto FX loss USD 275.2mn</w:t>
            </w:r>
            <w:r>
              <w:br/>
              <w:t xml:space="preserve">Level of FX risk without financial hedging: </w:t>
            </w:r>
            <w:r w:rsidR="009C0EDF">
              <w:t>Moderate</w:t>
            </w:r>
            <w:r>
              <w:br/>
              <w:t xml:space="preserve">In general, customer hedges FX exposure: </w:t>
            </w:r>
            <w:r w:rsidR="009C0EDF">
              <w:t>Yes, Mainly</w:t>
            </w:r>
          </w:p>
        </w:tc>
      </w:tr>
    </w:tbl>
    <w:p w14:paraId="0D838894" w14:textId="77777777" w:rsidR="00541E2F" w:rsidRDefault="00541E2F" w:rsidP="00541E2F">
      <w:pPr>
        <w:pStyle w:val="Heading2"/>
        <w:numPr>
          <w:ilvl w:val="0"/>
          <w:numId w:val="0"/>
        </w:numPr>
      </w:pPr>
    </w:p>
    <w:p w14:paraId="0A1B4114" w14:textId="77777777" w:rsidR="00541E2F" w:rsidRDefault="00541E2F">
      <w:pPr>
        <w:spacing w:after="200" w:line="276" w:lineRule="auto"/>
        <w:rPr>
          <w:rFonts w:ascii="Futura" w:hAnsi="Futura" w:cs="Arial"/>
          <w:b/>
          <w:bCs/>
          <w:sz w:val="22"/>
          <w:szCs w:val="19"/>
          <w:lang w:val="en-US"/>
        </w:rPr>
      </w:pPr>
      <w:r>
        <w:br/>
      </w:r>
    </w:p>
    <w:p w14:paraId="529C4F4A" w14:textId="77777777" w:rsidR="00BA2335" w:rsidRPr="00771921" w:rsidRDefault="00BA2335" w:rsidP="00112486">
      <w:pPr>
        <w:pStyle w:val="Heading2"/>
      </w:pPr>
      <w:r>
        <w:t>Financial Risk Evaluation</w:t>
      </w: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4"/>
        <w:gridCol w:w="1843"/>
      </w:tblGrid>
      <w:tr w:rsidR="00BA2335" w:rsidRPr="00771921" w14:paraId="1F575919" w14:textId="77777777" w:rsidTr="001B4094">
        <w:trPr>
          <w:trHeight w:val="455"/>
        </w:trPr>
        <w:tc>
          <w:tcPr>
            <w:tcW w:w="8534" w:type="dxa"/>
            <w:tcBorders>
              <w:bottom w:val="single" w:sz="4" w:space="0" w:color="auto"/>
            </w:tcBorders>
            <w:shd w:val="clear" w:color="auto" w:fill="CCFFFF"/>
            <w:vAlign w:val="center"/>
          </w:tcPr>
          <w:p w14:paraId="519ABE78" w14:textId="276DB9B1" w:rsidR="00F92BDF" w:rsidRDefault="00000000">
            <w:r>
              <w:t xml:space="preserve">Single FERROTECH:  </w:t>
            </w:r>
            <w:r w:rsidR="00593DFA">
              <w:t xml:space="preserve">Moderate </w:t>
            </w:r>
            <w:r>
              <w:t>Risk</w:t>
            </w:r>
          </w:p>
        </w:tc>
        <w:tc>
          <w:tcPr>
            <w:tcW w:w="1843" w:type="dxa"/>
            <w:tcBorders>
              <w:bottom w:val="single" w:sz="4" w:space="0" w:color="auto"/>
            </w:tcBorders>
            <w:shd w:val="clear" w:color="auto" w:fill="CCFFFF"/>
            <w:vAlign w:val="center"/>
          </w:tcPr>
          <w:p w14:paraId="3889F3B6" w14:textId="7A812005" w:rsidR="00F92BDF" w:rsidRDefault="00000000">
            <w:r>
              <w:t xml:space="preserve">Outlook: </w:t>
            </w:r>
            <w:r w:rsidR="00593DFA">
              <w:t>Stable</w:t>
            </w:r>
          </w:p>
        </w:tc>
      </w:tr>
      <w:tr w:rsidR="00BA2335" w:rsidRPr="0052584F" w14:paraId="615FBE76" w14:textId="77777777" w:rsidTr="001B4094">
        <w:trPr>
          <w:trHeight w:val="455"/>
        </w:trPr>
        <w:tc>
          <w:tcPr>
            <w:tcW w:w="10377" w:type="dxa"/>
            <w:gridSpan w:val="2"/>
            <w:shd w:val="clear" w:color="auto" w:fill="auto"/>
            <w:vAlign w:val="center"/>
          </w:tcPr>
          <w:p w14:paraId="7501CE99" w14:textId="6AC04C44" w:rsidR="00F92BDF" w:rsidRDefault="00000000">
            <w:r>
              <w:t>Based on single FS as of 12/2023 (local, unqual.) + interim FS as of 3/2024</w:t>
            </w:r>
            <w:r>
              <w:br/>
              <w:t xml:space="preserve">P&amp;L summary: </w:t>
            </w:r>
            <w:r>
              <w:br/>
              <w:t>After dynamic sales growth in 2022 and 2023 there was nearly 20% sales correction. Nevertheless steel prices changes is the key factor for this development because in 2022 physical output decreased by 14% (despite revenues growth) and for 2023 physical output remained flat at 135k tonnes and average price went down from 1 217 to 1 017 EUR/t</w:t>
            </w:r>
            <w:r>
              <w:br/>
              <w:t>EBITDA for 2021 and 2022 considered as extraordinary and MNG expected normalization to USD 556 vs. USD 466 reported, i.e. slightly above the expectation and profitability for 2023 perceived by FERROTECH as decent average</w:t>
            </w:r>
            <w:r>
              <w:br/>
              <w:t>Strongest EBITDA reported in 2Q in situation of steel prices decrease that is considered as slight surprise for CA and signalizes that the commodity hedge of FERROTECH is on relatively high level</w:t>
            </w:r>
            <w:r>
              <w:br/>
              <w:t>OOI include USD 376.5mn of bonuses from Global Steelworks</w:t>
            </w:r>
            <w:r>
              <w:br/>
              <w:t>FX result – see previous section</w:t>
            </w:r>
            <w:r>
              <w:br/>
              <w:t>Extraordinary items: mainly non-realized FX gains/losses; created provisions towards Alloy Dynamics Inc. in 2021</w:t>
            </w:r>
            <w:r>
              <w:br/>
              <w:t>1Q/2024: stable revenues in USD as well as in tonnes; profitability decent and significantly higher than in previous years</w:t>
            </w:r>
            <w:r>
              <w:br/>
            </w:r>
            <w:r>
              <w:br/>
              <w:t xml:space="preserve">B/S summary: </w:t>
            </w:r>
            <w:r>
              <w:br/>
              <w:t>Extremely successful years 2021+2022 resulted into substantial improvement of the capital structure that even supported the LT trend of deleveraging; in 2023 situation stabilized -&gt; FAC 1.80 (1.9x PY), EqR 42% (43% PY) and Net Debt/EBITDA 3.0x (vs. 1.6x 2Y ago). Dividend payout ratio 36% in 2023 = USD 148.9mn (thereof USD 881 kept in liabilities, i.e. cash outflow only partial resp. will be paid out in 2024)</w:t>
            </w:r>
            <w:r>
              <w:br/>
              <w:t>Liquidity acceptable – CR 1.3x (1.4x PY)</w:t>
            </w:r>
            <w:r>
              <w:br/>
              <w:t>Fixed assets: FERROTECH has 2 production facilities; main plant is located in Steel Valley and the other in Iron Hills; in 2021 and 2022 CAPEX into new processing line for more than USD 455 that was co-financed by syndicated loan; in 2023 CAPEX USD 707 financed from own sources (including several cars for collectors purposes)</w:t>
            </w:r>
            <w:r>
              <w:br/>
              <w:t>Aging structures of A/R and A/P ok; no risk regarding I/G to Alloy Dynamics Inc. because part was repaid and rest is fully provisioned – detail in Business Risk</w:t>
            </w:r>
            <w:r>
              <w:br/>
              <w:t xml:space="preserve">Inventory increased by USD 421.5mn in situation of sales decrease: </w:t>
            </w:r>
            <w:r>
              <w:br/>
              <w:t xml:space="preserve">Steel producers suffered lack of orders and so delivered goods ahead of schedule = inventory for 2.5M sales vs. optimal and target value is equivalent of 2M. </w:t>
            </w:r>
            <w:r>
              <w:br/>
            </w:r>
            <w:r>
              <w:lastRenderedPageBreak/>
              <w:t>Average stock price 880 EUR/t 12/2023 vs. 1 025 EUR/t 12/2022</w:t>
            </w:r>
            <w:r>
              <w:br/>
              <w:t>Figures as of 3/2024 confirms inventory reduction by more than USD 731</w:t>
            </w:r>
            <w:r>
              <w:br/>
              <w:t>Off B/S: no financial lease; no issued guarantees</w:t>
            </w:r>
            <w:r>
              <w:br/>
            </w:r>
            <w:r>
              <w:br/>
              <w:t>CF summary:</w:t>
            </w:r>
            <w:r>
              <w:br/>
              <w:t>DSCR 1.5x including pre-mature repayments and 1.0x after CAPEX</w:t>
            </w:r>
            <w:r>
              <w:br/>
              <w:t>DSCR after dividends only 0.7x but majority of dividend non-cash relevant; cash-out expected in 2024</w:t>
            </w:r>
            <w:r>
              <w:br/>
              <w:t>Negative changes in w/c driven by inventory increase financed via higher utilization of ST limits</w:t>
            </w:r>
            <w:r>
              <w:br/>
            </w:r>
            <w:r>
              <w:br/>
              <w:t>Evaluation of ST financing need:</w:t>
            </w:r>
            <w:r>
              <w:br/>
              <w:t>Slight increase of w/c needs in 2023 driven by inventory growth; set ST limits adequate resp. even space for its increase</w:t>
            </w:r>
            <w:r>
              <w:br/>
            </w:r>
          </w:p>
        </w:tc>
      </w:tr>
    </w:tbl>
    <w:p w14:paraId="311AB0E0" w14:textId="77777777" w:rsidR="00280FE0" w:rsidRDefault="00280FE0" w:rsidP="00063976">
      <w:pPr>
        <w:pStyle w:val="Heading2"/>
        <w:numPr>
          <w:ilvl w:val="0"/>
          <w:numId w:val="0"/>
        </w:numPr>
        <w:rPr>
          <w:highlight w:val="cyan"/>
        </w:rPr>
      </w:pPr>
    </w:p>
    <w:p w14:paraId="68004C73" w14:textId="77777777" w:rsidR="00280FE0" w:rsidRDefault="00280FE0">
      <w:pPr>
        <w:spacing w:after="200" w:line="276" w:lineRule="auto"/>
        <w:rPr>
          <w:rFonts w:ascii="Futura" w:hAnsi="Futura" w:cs="Arial"/>
          <w:b/>
          <w:bCs/>
          <w:sz w:val="22"/>
          <w:szCs w:val="19"/>
          <w:highlight w:val="cyan"/>
          <w:lang w:val="en-US"/>
        </w:rPr>
      </w:pPr>
      <w:r>
        <w:br/>
      </w:r>
    </w:p>
    <w:p w14:paraId="6E81D821" w14:textId="77777777" w:rsidR="00BA2335" w:rsidRPr="00063976" w:rsidRDefault="00BA2335" w:rsidP="00112486">
      <w:pPr>
        <w:pStyle w:val="Heading2"/>
      </w:pPr>
      <w:r>
        <w:t>Projection &amp; Feasibility</w:t>
      </w:r>
    </w:p>
    <w:tbl>
      <w:tblPr>
        <w:tblW w:w="1037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7"/>
      </w:tblGrid>
      <w:tr w:rsidR="00BA2335" w:rsidRPr="0052584F" w14:paraId="5E0D43BA" w14:textId="77777777" w:rsidTr="001B4094">
        <w:trPr>
          <w:trHeight w:val="455"/>
        </w:trPr>
        <w:tc>
          <w:tcPr>
            <w:tcW w:w="10377" w:type="dxa"/>
            <w:shd w:val="clear" w:color="auto" w:fill="CCFFFF"/>
            <w:vAlign w:val="center"/>
          </w:tcPr>
          <w:p w14:paraId="064D499A" w14:textId="2DDCB59D" w:rsidR="00F92BDF" w:rsidRDefault="00000000">
            <w:r>
              <w:t xml:space="preserve">Projection FERROTECH:  </w:t>
            </w:r>
            <w:r w:rsidR="00F40C65">
              <w:t xml:space="preserve">Moderate </w:t>
            </w:r>
            <w:r>
              <w:t>Risk</w:t>
            </w:r>
          </w:p>
        </w:tc>
      </w:tr>
      <w:tr w:rsidR="00063976" w:rsidRPr="0052584F" w14:paraId="285D4E5B" w14:textId="77777777" w:rsidTr="00063976">
        <w:trPr>
          <w:trHeight w:val="455"/>
        </w:trPr>
        <w:tc>
          <w:tcPr>
            <w:tcW w:w="10377" w:type="dxa"/>
            <w:shd w:val="clear" w:color="auto" w:fill="auto"/>
            <w:vAlign w:val="center"/>
          </w:tcPr>
          <w:p w14:paraId="3DEC2BE9" w14:textId="77777777" w:rsidR="00F92BDF" w:rsidRDefault="00000000">
            <w:r>
              <w:t>Mgmt planning ability:</w:t>
            </w:r>
            <w:r>
              <w:br/>
              <w:t>Increase of physical sales by 12% not realized in 2023 and so revenues ca. 10% below plan; nevertheless company very conservative in projections in terms of profitability because EBITDA USD 521 exceeded planed USD 645 (similar situation as in 2022)</w:t>
            </w:r>
            <w:r>
              <w:br/>
            </w:r>
          </w:p>
        </w:tc>
      </w:tr>
      <w:tr w:rsidR="00063976" w:rsidRPr="0052584F" w14:paraId="258D9011" w14:textId="77777777" w:rsidTr="00063976">
        <w:trPr>
          <w:trHeight w:val="455"/>
        </w:trPr>
        <w:tc>
          <w:tcPr>
            <w:tcW w:w="10377" w:type="dxa"/>
            <w:shd w:val="clear" w:color="auto" w:fill="auto"/>
            <w:vAlign w:val="center"/>
          </w:tcPr>
          <w:p w14:paraId="1E93C231" w14:textId="56AE270E" w:rsidR="00F92BDF" w:rsidRDefault="00000000">
            <w:r>
              <w:t>Info regarding new CAPEX</w:t>
            </w:r>
            <w:r>
              <w:br/>
              <w:t xml:space="preserve">Intention to invest into new processing line </w:t>
            </w:r>
            <w:r w:rsidR="00FA0F20">
              <w:t>ExMachina</w:t>
            </w:r>
            <w:r>
              <w:t>; expected price for technology USD 127.3mn + construction costs USD 141.4mn</w:t>
            </w:r>
            <w:r>
              <w:br/>
              <w:t>Main parameters of the technology:</w:t>
            </w:r>
            <w:r>
              <w:br/>
              <w:t xml:space="preserve">Laser blanking line considered as new innovation of </w:t>
            </w:r>
            <w:r w:rsidR="00FA0F20">
              <w:t>ExMachina</w:t>
            </w:r>
            <w:r>
              <w:t xml:space="preserve"> (= top brand in the industry)</w:t>
            </w:r>
            <w:r>
              <w:br/>
              <w:t>Line is capable of processing steel and optionally aluminum</w:t>
            </w:r>
            <w:r>
              <w:br/>
              <w:t>Fully automated process in fact; only 4 FTE’s required to run the line – PEREX and maintenance not to exceed USD 587 yearly</w:t>
            </w:r>
            <w:r>
              <w:br/>
              <w:t>Rapid shortening of the initial phase of for production as no die (“matrice”) for the production has to pe prepared ahead the production launch = margins to be higher than on existing lines (USD 989ths per tonne in the plan)</w:t>
            </w:r>
            <w:r>
              <w:br/>
              <w:t>Capacity up to 50k tonnes per year</w:t>
            </w:r>
            <w:r>
              <w:br/>
              <w:t xml:space="preserve">Output of new line not contractually secured as the launch is in the 2Y time; nevertheless main customers shows intention. FERROTECH declared that roughly 10% of existing production can be transferred on the new </w:t>
            </w:r>
            <w:r w:rsidR="00FA0F20">
              <w:t>ExMachina</w:t>
            </w:r>
            <w:r>
              <w:t xml:space="preserve"> line resulting into higher efficiency</w:t>
            </w:r>
            <w:r>
              <w:br/>
              <w:t xml:space="preserve">Technology in FERROTECH to be the first on </w:t>
            </w:r>
            <w:r w:rsidR="009B3288">
              <w:t>the</w:t>
            </w:r>
            <w:r>
              <w:t xml:space="preserve"> market</w:t>
            </w:r>
            <w:r>
              <w:br/>
              <w:t>Representatives of FERROTECH visited the same production line in Germany (Leipzig) where components for Tesla and Porsche are produced</w:t>
            </w:r>
            <w:r>
              <w:br/>
              <w:t>Time schedule:</w:t>
            </w:r>
            <w:r>
              <w:br/>
              <w:t>Contract not signed and dependent on the approval by the syndicated</w:t>
            </w:r>
            <w:r>
              <w:br/>
              <w:t>Time to launch the line is 2Y after the order = mid 2026; payment terms subject of future negotiations but advance payment in several steps to be included</w:t>
            </w:r>
            <w:r>
              <w:br/>
              <w:t>Construction works not seen as critical in terms of timing and construction to be done in 2025</w:t>
            </w:r>
            <w:r>
              <w:br/>
              <w:t xml:space="preserve">Simple plan for the line: new line to turn into black figures already in 2026 and break even by less than </w:t>
            </w:r>
            <w:r>
              <w:lastRenderedPageBreak/>
              <w:t xml:space="preserve">13k tonnes; performance to fully cover entire DS at 38.8k tonnes = 78% capacity resp. by planned output possible decrease of margin per tonne from USD 323 ths to 2.6 ths </w:t>
            </w:r>
          </w:p>
        </w:tc>
      </w:tr>
      <w:tr w:rsidR="00BA2335" w:rsidRPr="0052584F" w14:paraId="27EC2CE1" w14:textId="77777777" w:rsidTr="001B4094">
        <w:trPr>
          <w:trHeight w:val="455"/>
        </w:trPr>
        <w:tc>
          <w:tcPr>
            <w:tcW w:w="10377" w:type="dxa"/>
            <w:shd w:val="clear" w:color="auto" w:fill="auto"/>
            <w:vAlign w:val="center"/>
          </w:tcPr>
          <w:p w14:paraId="42DCB3D8" w14:textId="1872369F" w:rsidR="00F92BDF" w:rsidRDefault="00000000">
            <w:r>
              <w:lastRenderedPageBreak/>
              <w:t>Mgmt scenario:</w:t>
            </w:r>
            <w:r>
              <w:br/>
              <w:t>MT plan for 2024-2027 submitted by the management</w:t>
            </w:r>
            <w:r>
              <w:br/>
              <w:t>Physical volumes: increase of volumes from 135k tonnes for 2024 to 154k tonnes in 2025, 160k tonnes in 2026; thereof contribution of new line to be 15k tonnes in 2026, 35k tonnes in 2027 and than 45k tonnes in 2028+ = 90% utilization</w:t>
            </w:r>
            <w:r>
              <w:br/>
              <w:t>Margins per process tonne to be at USD 104.1-2.2 ths in the projection; although years 2021+2023 seen as extraordinary planned, values are significantly below 2023+1Q/24 that was not positively influenced by commodity prices hikes, supply chain shortages etc. = conservative according to CA</w:t>
            </w:r>
            <w:r>
              <w:br/>
              <w:t>Fixed costs calculated to USD 927 yearly</w:t>
            </w:r>
            <w:r>
              <w:br/>
              <w:t>Planned EBITDAm to decrease by 120bps in 2024 and slightly growth in the following years driven by economics of scale</w:t>
            </w:r>
            <w:r>
              <w:br/>
              <w:t>CAPEX: total CAPEX nearly USD 727 in next 3Y but thereof ca USD 600 to be connected with the new line; mandatory capex estimated to USD 114 by the Co.</w:t>
            </w:r>
            <w:r>
              <w:br/>
              <w:t>New loans: syndicate loan and its drawing split similarly to CAPEX into 2024-2026; first repayments in 3Q/2026; tenor 5Y</w:t>
            </w:r>
            <w:r>
              <w:br/>
              <w:t>Dividends: dividends only modest in next years and increase in 2027; in 2024 ST payable USD 865 to be paid out (=reflected in changes in w/c)</w:t>
            </w:r>
            <w:r>
              <w:br/>
              <w:t>DSCR decent with 1.8x in 2027 when the burden of the new loan will be highest</w:t>
            </w:r>
            <w:r>
              <w:br/>
              <w:t>Net Debt/EBITDA 4.9x in the peak</w:t>
            </w:r>
            <w:r>
              <w:br/>
            </w:r>
            <w:r>
              <w:br/>
              <w:t>CA scenario:</w:t>
            </w:r>
            <w:r>
              <w:br/>
              <w:t>Although in 2021-22 physical output over 160-170k tonnes was reached, CA calculated with stagnation for 2024 and 2025 and only modest increase after launch of the line</w:t>
            </w:r>
            <w:r>
              <w:br/>
              <w:t>Margin per tonne increased by CA to USD 361.4 ths in the projection</w:t>
            </w:r>
            <w:r>
              <w:br/>
              <w:t xml:space="preserve">EBITDA USD 467 plan for 2024 and slow growth to USD 235 in 2027 = values below 2023 performance and EBITDAm round 4% </w:t>
            </w:r>
            <w:r>
              <w:br/>
              <w:t>DSCR 1.5x under the peak DS burden in 2027; values after CAPEX co-financing lower minimal buffer; if DSCR after mandatory CAPEX calculated than DSCR 1.3x</w:t>
            </w:r>
            <w:r>
              <w:br/>
              <w:t>Net debt/EBITDA to peak at 5.8x in 2026</w:t>
            </w:r>
            <w:r>
              <w:br/>
            </w:r>
            <w:r>
              <w:br/>
              <w:t>Sensitivity analysis:</w:t>
            </w:r>
            <w:r>
              <w:br/>
              <w:t>Visible sensitivity on physical volumes and gross profit per tonne</w:t>
            </w:r>
            <w:r>
              <w:br/>
              <w:t>By 135k tonnes output stagnation that were reached in 2022 and 2023 = output stagnation, than break even reached by gross margin 2.2k tonnes and for DSCR 1.2x by USD 808.4k tonnes</w:t>
            </w:r>
            <w:r>
              <w:br/>
              <w:t>If volumes increase by 10% compared to 2023 even USD 271.2 per tonne sufficient for DSCR above 1.2x</w:t>
            </w:r>
            <w:r>
              <w:br/>
              <w:t>Breach of the leverage covenant possible and so temporarily covenant softening to 6.0x for 2025 and 2026 is recommended. Leverage calculated as Net Debt/EBITDA and as cash used the value similar to cash in 2027 CA case, i.e. USD 898.6mn</w:t>
            </w:r>
          </w:p>
        </w:tc>
      </w:tr>
    </w:tbl>
    <w:p w14:paraId="3A3806F9" w14:textId="6892654F" w:rsidR="002E2490" w:rsidRPr="00B82104" w:rsidRDefault="002E2490" w:rsidP="008D6320">
      <w:pPr>
        <w:spacing w:after="200" w:line="276" w:lineRule="auto"/>
        <w:rPr>
          <w:rFonts w:ascii="Futura" w:hAnsi="Futura"/>
          <w:sz w:val="18"/>
          <w:lang w:val="en-US"/>
        </w:rPr>
      </w:pPr>
    </w:p>
    <w:sectPr w:rsidR="002E2490" w:rsidRPr="00B82104" w:rsidSect="001B409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4C1C" w14:textId="77777777" w:rsidR="002539B3" w:rsidRDefault="002539B3" w:rsidP="00EE2C13">
      <w:r>
        <w:separator/>
      </w:r>
    </w:p>
  </w:endnote>
  <w:endnote w:type="continuationSeparator" w:id="0">
    <w:p w14:paraId="2FCDDCBE" w14:textId="77777777" w:rsidR="002539B3" w:rsidRDefault="002539B3" w:rsidP="00EE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Futura">
    <w:panose1 w:val="00000400000000000000"/>
    <w:charset w:val="00"/>
    <w:family w:val="auto"/>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FuturaTEE">
    <w:panose1 w:val="00000000000000000000"/>
    <w:charset w:val="00"/>
    <w:family w:val="auto"/>
    <w:pitch w:val="variable"/>
    <w:sig w:usb0="00000007" w:usb1="00000000"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D89F" w14:textId="77777777" w:rsidR="00A1071B" w:rsidRDefault="00A107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987545"/>
      <w:docPartObj>
        <w:docPartGallery w:val="Page Numbers (Bottom of Page)"/>
        <w:docPartUnique/>
      </w:docPartObj>
    </w:sdtPr>
    <w:sdtContent>
      <w:p w14:paraId="7FD4490D" w14:textId="77777777" w:rsidR="00A1071B" w:rsidRDefault="00A1071B">
        <w:pPr>
          <w:pStyle w:val="Footer"/>
          <w:jc w:val="right"/>
        </w:pPr>
        <w:r>
          <w:fldChar w:fldCharType="begin"/>
        </w:r>
        <w:r>
          <w:instrText>PAGE   \* MERGEFORMAT</w:instrText>
        </w:r>
        <w:r>
          <w:fldChar w:fldCharType="separate"/>
        </w:r>
        <w:r w:rsidRPr="00B82104">
          <w:rPr>
            <w:noProof/>
            <w:lang w:val="cs-CZ"/>
          </w:rPr>
          <w:t>2</w:t>
        </w:r>
        <w:r>
          <w:fldChar w:fldCharType="end"/>
        </w:r>
      </w:p>
    </w:sdtContent>
  </w:sdt>
  <w:p w14:paraId="0E03736F" w14:textId="77777777" w:rsidR="00A1071B" w:rsidRDefault="00A107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360735"/>
      <w:docPartObj>
        <w:docPartGallery w:val="Page Numbers (Bottom of Page)"/>
        <w:docPartUnique/>
      </w:docPartObj>
    </w:sdtPr>
    <w:sdtContent>
      <w:p w14:paraId="18236840" w14:textId="77777777" w:rsidR="00A1071B" w:rsidRDefault="00A1071B">
        <w:pPr>
          <w:pStyle w:val="Footer"/>
          <w:jc w:val="right"/>
        </w:pPr>
        <w:r>
          <w:fldChar w:fldCharType="begin"/>
        </w:r>
        <w:r>
          <w:instrText>PAGE   \* MERGEFORMAT</w:instrText>
        </w:r>
        <w:r>
          <w:fldChar w:fldCharType="separate"/>
        </w:r>
        <w:r w:rsidRPr="00B82104">
          <w:rPr>
            <w:noProof/>
            <w:lang w:val="cs-CZ"/>
          </w:rPr>
          <w:t>1</w:t>
        </w:r>
        <w:r>
          <w:fldChar w:fldCharType="end"/>
        </w:r>
      </w:p>
    </w:sdtContent>
  </w:sdt>
  <w:p w14:paraId="21633066" w14:textId="77777777" w:rsidR="00A1071B" w:rsidRDefault="00A1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859A" w14:textId="77777777" w:rsidR="002539B3" w:rsidRDefault="002539B3" w:rsidP="00EE2C13">
      <w:r>
        <w:separator/>
      </w:r>
    </w:p>
  </w:footnote>
  <w:footnote w:type="continuationSeparator" w:id="0">
    <w:p w14:paraId="358B5799" w14:textId="77777777" w:rsidR="002539B3" w:rsidRDefault="002539B3" w:rsidP="00EE2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3E2B" w14:textId="77777777" w:rsidR="00A1071B" w:rsidRDefault="00A107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05BE" w14:textId="77777777" w:rsidR="00A1071B" w:rsidRDefault="00A107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BD63" w14:textId="77777777" w:rsidR="00A1071B" w:rsidRDefault="00A10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D33"/>
    <w:multiLevelType w:val="hybridMultilevel"/>
    <w:tmpl w:val="7736B7E0"/>
    <w:lvl w:ilvl="0" w:tplc="50CC3444">
      <w:start w:val="1"/>
      <w:numFmt w:val="bullet"/>
      <w:lvlText w:val=""/>
      <w:lvlJc w:val="left"/>
      <w:pPr>
        <w:ind w:left="360" w:hanging="360"/>
      </w:pPr>
      <w:rPr>
        <w:rFonts w:ascii="Symbol" w:hAnsi="Symbol" w:hint="default"/>
        <w:color w:val="auto"/>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0875A89"/>
    <w:multiLevelType w:val="hybridMultilevel"/>
    <w:tmpl w:val="61DCC12A"/>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start w:val="1"/>
      <w:numFmt w:val="lowerLetter"/>
      <w:lvlText w:val="%8."/>
      <w:lvlJc w:val="left"/>
      <w:pPr>
        <w:ind w:left="5400" w:hanging="360"/>
      </w:pPr>
    </w:lvl>
    <w:lvl w:ilvl="8" w:tplc="0405001B">
      <w:start w:val="1"/>
      <w:numFmt w:val="lowerRoman"/>
      <w:lvlText w:val="%9."/>
      <w:lvlJc w:val="right"/>
      <w:pPr>
        <w:ind w:left="6120" w:hanging="180"/>
      </w:pPr>
    </w:lvl>
  </w:abstractNum>
  <w:abstractNum w:abstractNumId="2" w15:restartNumberingAfterBreak="0">
    <w:nsid w:val="012A5AF9"/>
    <w:multiLevelType w:val="hybridMultilevel"/>
    <w:tmpl w:val="F02EB59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4C667C0C">
      <w:start w:val="12"/>
      <w:numFmt w:val="bullet"/>
      <w:lvlText w:val=""/>
      <w:lvlJc w:val="left"/>
      <w:pPr>
        <w:ind w:left="1800" w:hanging="360"/>
      </w:pPr>
      <w:rPr>
        <w:rFonts w:ascii="Wingdings" w:eastAsia="Calibri" w:hAnsi="Wingdings" w:cs="Times New Roman" w:hint="default"/>
        <w:b/>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15:restartNumberingAfterBreak="0">
    <w:nsid w:val="03AF0EA5"/>
    <w:multiLevelType w:val="hybridMultilevel"/>
    <w:tmpl w:val="51162D9A"/>
    <w:lvl w:ilvl="0" w:tplc="3A38DF46">
      <w:start w:val="1"/>
      <w:numFmt w:val="bullet"/>
      <w:lvlText w:val=""/>
      <w:lvlJc w:val="left"/>
      <w:pPr>
        <w:ind w:left="360" w:hanging="360"/>
      </w:pPr>
      <w:rPr>
        <w:rFonts w:ascii="Symbol" w:hAnsi="Symbol" w:hint="default"/>
        <w:sz w:val="20"/>
        <w:szCs w:val="20"/>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58563D6"/>
    <w:multiLevelType w:val="hybridMultilevel"/>
    <w:tmpl w:val="E974B79C"/>
    <w:lvl w:ilvl="0" w:tplc="50CC3444">
      <w:start w:val="1"/>
      <w:numFmt w:val="bullet"/>
      <w:lvlText w:val=""/>
      <w:lvlJc w:val="left"/>
      <w:pPr>
        <w:ind w:left="360" w:hanging="360"/>
      </w:pPr>
      <w:rPr>
        <w:rFonts w:ascii="Symbol" w:hAnsi="Symbol" w:hint="default"/>
        <w:color w:val="auto"/>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B3C1E26"/>
    <w:multiLevelType w:val="hybridMultilevel"/>
    <w:tmpl w:val="37B6AC62"/>
    <w:lvl w:ilvl="0" w:tplc="0409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EB746392">
      <w:numFmt w:val="bullet"/>
      <w:lvlText w:val=""/>
      <w:lvlJc w:val="left"/>
      <w:pPr>
        <w:ind w:left="2880" w:hanging="360"/>
      </w:pPr>
      <w:rPr>
        <w:rFonts w:ascii="Wingdings" w:eastAsia="Times New Roman" w:hAnsi="Wingdings" w:cs="Times New Roman"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0E24E83"/>
    <w:multiLevelType w:val="hybridMultilevel"/>
    <w:tmpl w:val="631A31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4AA67E3"/>
    <w:multiLevelType w:val="hybridMultilevel"/>
    <w:tmpl w:val="7EE487F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8" w15:restartNumberingAfterBreak="0">
    <w:nsid w:val="1C813822"/>
    <w:multiLevelType w:val="hybridMultilevel"/>
    <w:tmpl w:val="7DB27990"/>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9" w15:restartNumberingAfterBreak="0">
    <w:nsid w:val="1F4C508F"/>
    <w:multiLevelType w:val="hybridMultilevel"/>
    <w:tmpl w:val="2DF44E3E"/>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1F8C66F2"/>
    <w:multiLevelType w:val="hybridMultilevel"/>
    <w:tmpl w:val="540A55B6"/>
    <w:lvl w:ilvl="0" w:tplc="0409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209E7B28"/>
    <w:multiLevelType w:val="multilevel"/>
    <w:tmpl w:val="26F03944"/>
    <w:lvl w:ilvl="0">
      <w:start w:val="1"/>
      <w:numFmt w:val="decimal"/>
      <w:pStyle w:val="NADPIS1"/>
      <w:lvlText w:val="%1."/>
      <w:lvlJc w:val="left"/>
      <w:pPr>
        <w:tabs>
          <w:tab w:val="num" w:pos="360"/>
        </w:tabs>
        <w:ind w:left="360" w:hanging="360"/>
      </w:pPr>
      <w:rPr>
        <w:rFonts w:cs="Times New Roman"/>
      </w:rPr>
    </w:lvl>
    <w:lvl w:ilvl="1">
      <w:start w:val="1"/>
      <w:numFmt w:val="decimal"/>
      <w:pStyle w:val="NADPIS2"/>
      <w:lvlText w:val="%1.%2."/>
      <w:lvlJc w:val="left"/>
      <w:pPr>
        <w:tabs>
          <w:tab w:val="num" w:pos="858"/>
        </w:tabs>
        <w:ind w:left="858"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0364926"/>
    <w:multiLevelType w:val="hybridMultilevel"/>
    <w:tmpl w:val="88E8B6FA"/>
    <w:lvl w:ilvl="0" w:tplc="BB10F61E">
      <w:numFmt w:val="bullet"/>
      <w:lvlText w:val="-"/>
      <w:lvlJc w:val="left"/>
      <w:pPr>
        <w:ind w:left="720" w:hanging="360"/>
      </w:pPr>
      <w:rPr>
        <w:rFonts w:ascii="Futura" w:eastAsia="Times New Roman" w:hAnsi="Futura" w:cs="Courier New"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1F377E0"/>
    <w:multiLevelType w:val="hybridMultilevel"/>
    <w:tmpl w:val="5EC65376"/>
    <w:lvl w:ilvl="0" w:tplc="0409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32617543"/>
    <w:multiLevelType w:val="hybridMultilevel"/>
    <w:tmpl w:val="BDB0875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343E773A"/>
    <w:multiLevelType w:val="hybridMultilevel"/>
    <w:tmpl w:val="C0528CBE"/>
    <w:lvl w:ilvl="0" w:tplc="7C3EB9FE">
      <w:start w:val="1"/>
      <w:numFmt w:val="decimal"/>
      <w:pStyle w:val="ListNumb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494256"/>
    <w:multiLevelType w:val="hybridMultilevel"/>
    <w:tmpl w:val="2CC63398"/>
    <w:lvl w:ilvl="0" w:tplc="CF580FB0">
      <w:start w:val="1"/>
      <w:numFmt w:val="bullet"/>
      <w:lvlText w:val=""/>
      <w:lvlJc w:val="left"/>
      <w:pPr>
        <w:ind w:left="360" w:hanging="360"/>
      </w:pPr>
      <w:rPr>
        <w:rFonts w:ascii="Symbol" w:hAnsi="Symbol" w:hint="default"/>
        <w:b w:val="0"/>
        <w:color w:val="auto"/>
        <w:sz w:val="20"/>
        <w:szCs w:val="20"/>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44803556"/>
    <w:multiLevelType w:val="hybridMultilevel"/>
    <w:tmpl w:val="C35C561C"/>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15:restartNumberingAfterBreak="0">
    <w:nsid w:val="485531AB"/>
    <w:multiLevelType w:val="hybridMultilevel"/>
    <w:tmpl w:val="76D2B934"/>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19" w15:restartNumberingAfterBreak="0">
    <w:nsid w:val="49B72886"/>
    <w:multiLevelType w:val="hybridMultilevel"/>
    <w:tmpl w:val="1C008578"/>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0" w15:restartNumberingAfterBreak="0">
    <w:nsid w:val="5B325EA1"/>
    <w:multiLevelType w:val="hybridMultilevel"/>
    <w:tmpl w:val="84DA169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1" w15:restartNumberingAfterBreak="0">
    <w:nsid w:val="5FAF0F6E"/>
    <w:multiLevelType w:val="hybridMultilevel"/>
    <w:tmpl w:val="F61E9DD8"/>
    <w:lvl w:ilvl="0" w:tplc="50CC3444">
      <w:start w:val="1"/>
      <w:numFmt w:val="bullet"/>
      <w:lvlText w:val=""/>
      <w:lvlJc w:val="left"/>
      <w:pPr>
        <w:ind w:left="360" w:hanging="360"/>
      </w:pPr>
      <w:rPr>
        <w:rFonts w:ascii="Symbol" w:hAnsi="Symbol" w:hint="default"/>
        <w:color w:val="auto"/>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48F0BBD"/>
    <w:multiLevelType w:val="hybridMultilevel"/>
    <w:tmpl w:val="3028DF54"/>
    <w:lvl w:ilvl="0" w:tplc="FFFFFFFF">
      <w:start w:val="1"/>
      <w:numFmt w:val="bullet"/>
      <w:pStyle w:val="TEXTODR"/>
      <w:lvlText w:val=""/>
      <w:lvlJc w:val="left"/>
      <w:pPr>
        <w:tabs>
          <w:tab w:val="num" w:pos="717"/>
        </w:tabs>
        <w:ind w:left="717"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8A1B04"/>
    <w:multiLevelType w:val="multilevel"/>
    <w:tmpl w:val="5052D618"/>
    <w:lvl w:ilvl="0">
      <w:start w:val="1"/>
      <w:numFmt w:val="decimal"/>
      <w:pStyle w:val="Heading1"/>
      <w:lvlText w:val="%1"/>
      <w:lvlJc w:val="left"/>
      <w:pPr>
        <w:ind w:left="432" w:hanging="432"/>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DA82164"/>
    <w:multiLevelType w:val="hybridMultilevel"/>
    <w:tmpl w:val="470E4400"/>
    <w:lvl w:ilvl="0" w:tplc="FFFFFFFF">
      <w:start w:val="1"/>
      <w:numFmt w:val="bullet"/>
      <w:lvlText w:val="o"/>
      <w:lvlJc w:val="left"/>
      <w:pPr>
        <w:ind w:left="1440" w:hanging="360"/>
      </w:pPr>
      <w:rPr>
        <w:rFonts w:ascii="Courier New" w:hAnsi="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5" w15:restartNumberingAfterBreak="0">
    <w:nsid w:val="719B2718"/>
    <w:multiLevelType w:val="hybridMultilevel"/>
    <w:tmpl w:val="FC469C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4BB04B1"/>
    <w:multiLevelType w:val="hybridMultilevel"/>
    <w:tmpl w:val="AB78D032"/>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16cid:durableId="1940135006">
    <w:abstractNumId w:val="23"/>
  </w:num>
  <w:num w:numId="2" w16cid:durableId="385639989">
    <w:abstractNumId w:val="22"/>
  </w:num>
  <w:num w:numId="3" w16cid:durableId="604193040">
    <w:abstractNumId w:val="3"/>
  </w:num>
  <w:num w:numId="4" w16cid:durableId="1411318631">
    <w:abstractNumId w:val="1"/>
  </w:num>
  <w:num w:numId="5" w16cid:durableId="851839936">
    <w:abstractNumId w:val="15"/>
  </w:num>
  <w:num w:numId="6" w16cid:durableId="2020041679">
    <w:abstractNumId w:val="11"/>
  </w:num>
  <w:num w:numId="7" w16cid:durableId="1030569681">
    <w:abstractNumId w:val="16"/>
  </w:num>
  <w:num w:numId="8" w16cid:durableId="1712074679">
    <w:abstractNumId w:val="25"/>
  </w:num>
  <w:num w:numId="9" w16cid:durableId="1811823020">
    <w:abstractNumId w:val="26"/>
  </w:num>
  <w:num w:numId="10" w16cid:durableId="1950552377">
    <w:abstractNumId w:val="20"/>
  </w:num>
  <w:num w:numId="11" w16cid:durableId="1150637218">
    <w:abstractNumId w:val="4"/>
  </w:num>
  <w:num w:numId="12" w16cid:durableId="598222479">
    <w:abstractNumId w:val="0"/>
  </w:num>
  <w:num w:numId="13" w16cid:durableId="201328504">
    <w:abstractNumId w:val="21"/>
  </w:num>
  <w:num w:numId="14" w16cid:durableId="188225120">
    <w:abstractNumId w:val="2"/>
  </w:num>
  <w:num w:numId="15" w16cid:durableId="518355796">
    <w:abstractNumId w:val="19"/>
  </w:num>
  <w:num w:numId="16" w16cid:durableId="1698922259">
    <w:abstractNumId w:val="6"/>
  </w:num>
  <w:num w:numId="17" w16cid:durableId="910849996">
    <w:abstractNumId w:val="24"/>
  </w:num>
  <w:num w:numId="18" w16cid:durableId="125584597">
    <w:abstractNumId w:val="17"/>
  </w:num>
  <w:num w:numId="19" w16cid:durableId="544410195">
    <w:abstractNumId w:val="13"/>
  </w:num>
  <w:num w:numId="20" w16cid:durableId="1805586715">
    <w:abstractNumId w:val="18"/>
  </w:num>
  <w:num w:numId="21" w16cid:durableId="416096877">
    <w:abstractNumId w:val="12"/>
  </w:num>
  <w:num w:numId="22" w16cid:durableId="1904755984">
    <w:abstractNumId w:val="5"/>
  </w:num>
  <w:num w:numId="23" w16cid:durableId="319696538">
    <w:abstractNumId w:val="10"/>
  </w:num>
  <w:num w:numId="24" w16cid:durableId="531387357">
    <w:abstractNumId w:val="9"/>
  </w:num>
  <w:num w:numId="25" w16cid:durableId="161547301">
    <w:abstractNumId w:val="8"/>
  </w:num>
  <w:num w:numId="26" w16cid:durableId="1261572189">
    <w:abstractNumId w:val="7"/>
  </w:num>
  <w:num w:numId="27" w16cid:durableId="1869415835">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FB4"/>
    <w:rsid w:val="00000FC8"/>
    <w:rsid w:val="000014F2"/>
    <w:rsid w:val="00003653"/>
    <w:rsid w:val="00003775"/>
    <w:rsid w:val="00005298"/>
    <w:rsid w:val="00005F96"/>
    <w:rsid w:val="00006A4B"/>
    <w:rsid w:val="00011EB9"/>
    <w:rsid w:val="00012505"/>
    <w:rsid w:val="00013CBB"/>
    <w:rsid w:val="00013E82"/>
    <w:rsid w:val="00014903"/>
    <w:rsid w:val="0001672A"/>
    <w:rsid w:val="000206AE"/>
    <w:rsid w:val="00020756"/>
    <w:rsid w:val="00020758"/>
    <w:rsid w:val="000211CA"/>
    <w:rsid w:val="00021510"/>
    <w:rsid w:val="00021BAA"/>
    <w:rsid w:val="00022C67"/>
    <w:rsid w:val="00024337"/>
    <w:rsid w:val="00026532"/>
    <w:rsid w:val="00026B5E"/>
    <w:rsid w:val="0002711A"/>
    <w:rsid w:val="000357B9"/>
    <w:rsid w:val="000471E3"/>
    <w:rsid w:val="0004746D"/>
    <w:rsid w:val="00047E4A"/>
    <w:rsid w:val="00052A11"/>
    <w:rsid w:val="00052FEE"/>
    <w:rsid w:val="00053395"/>
    <w:rsid w:val="00054F5E"/>
    <w:rsid w:val="00057232"/>
    <w:rsid w:val="00062062"/>
    <w:rsid w:val="00062324"/>
    <w:rsid w:val="000623CB"/>
    <w:rsid w:val="00063976"/>
    <w:rsid w:val="00070CCF"/>
    <w:rsid w:val="0007539B"/>
    <w:rsid w:val="00075871"/>
    <w:rsid w:val="00076740"/>
    <w:rsid w:val="00077BA2"/>
    <w:rsid w:val="00080E89"/>
    <w:rsid w:val="00080F20"/>
    <w:rsid w:val="0009071E"/>
    <w:rsid w:val="00090821"/>
    <w:rsid w:val="00090968"/>
    <w:rsid w:val="000909B0"/>
    <w:rsid w:val="00091273"/>
    <w:rsid w:val="00095C03"/>
    <w:rsid w:val="00096D4D"/>
    <w:rsid w:val="000A2736"/>
    <w:rsid w:val="000A277A"/>
    <w:rsid w:val="000A6E60"/>
    <w:rsid w:val="000A79D0"/>
    <w:rsid w:val="000B0F4C"/>
    <w:rsid w:val="000B305B"/>
    <w:rsid w:val="000B668A"/>
    <w:rsid w:val="000B7478"/>
    <w:rsid w:val="000C3BB0"/>
    <w:rsid w:val="000C6D21"/>
    <w:rsid w:val="000D00D0"/>
    <w:rsid w:val="000D0462"/>
    <w:rsid w:val="000D3226"/>
    <w:rsid w:val="000D3C26"/>
    <w:rsid w:val="000D4BA1"/>
    <w:rsid w:val="000D753F"/>
    <w:rsid w:val="000E073D"/>
    <w:rsid w:val="000E1FFF"/>
    <w:rsid w:val="000E4C64"/>
    <w:rsid w:val="000E6CCC"/>
    <w:rsid w:val="000E7AD2"/>
    <w:rsid w:val="000F11ED"/>
    <w:rsid w:val="000F28BA"/>
    <w:rsid w:val="000F2BD1"/>
    <w:rsid w:val="000F3C92"/>
    <w:rsid w:val="000F4913"/>
    <w:rsid w:val="000F663A"/>
    <w:rsid w:val="000F66A3"/>
    <w:rsid w:val="000F6A36"/>
    <w:rsid w:val="000F7305"/>
    <w:rsid w:val="000F7A79"/>
    <w:rsid w:val="0010104E"/>
    <w:rsid w:val="001012B0"/>
    <w:rsid w:val="00106464"/>
    <w:rsid w:val="00106583"/>
    <w:rsid w:val="0010665C"/>
    <w:rsid w:val="001077E1"/>
    <w:rsid w:val="00107EE5"/>
    <w:rsid w:val="001117FC"/>
    <w:rsid w:val="00111DDE"/>
    <w:rsid w:val="00112486"/>
    <w:rsid w:val="0011681F"/>
    <w:rsid w:val="0011756A"/>
    <w:rsid w:val="00120365"/>
    <w:rsid w:val="00122765"/>
    <w:rsid w:val="00122A66"/>
    <w:rsid w:val="0012346A"/>
    <w:rsid w:val="001236AD"/>
    <w:rsid w:val="001239F0"/>
    <w:rsid w:val="00124EF0"/>
    <w:rsid w:val="001309FC"/>
    <w:rsid w:val="00131A6A"/>
    <w:rsid w:val="00134125"/>
    <w:rsid w:val="00135B6A"/>
    <w:rsid w:val="00137BA8"/>
    <w:rsid w:val="001435A7"/>
    <w:rsid w:val="001456F6"/>
    <w:rsid w:val="00146A84"/>
    <w:rsid w:val="00146EAD"/>
    <w:rsid w:val="00151AAA"/>
    <w:rsid w:val="00155B02"/>
    <w:rsid w:val="00160489"/>
    <w:rsid w:val="001620E0"/>
    <w:rsid w:val="00164290"/>
    <w:rsid w:val="0016703C"/>
    <w:rsid w:val="0016708E"/>
    <w:rsid w:val="00167824"/>
    <w:rsid w:val="001746DC"/>
    <w:rsid w:val="0017727D"/>
    <w:rsid w:val="0017788C"/>
    <w:rsid w:val="00180FC5"/>
    <w:rsid w:val="00181877"/>
    <w:rsid w:val="00182281"/>
    <w:rsid w:val="001848B4"/>
    <w:rsid w:val="001851B8"/>
    <w:rsid w:val="001863F9"/>
    <w:rsid w:val="00186A36"/>
    <w:rsid w:val="00187230"/>
    <w:rsid w:val="00187E33"/>
    <w:rsid w:val="00190F5C"/>
    <w:rsid w:val="00194ECA"/>
    <w:rsid w:val="001A2304"/>
    <w:rsid w:val="001A24A7"/>
    <w:rsid w:val="001A44E2"/>
    <w:rsid w:val="001A5A19"/>
    <w:rsid w:val="001B139C"/>
    <w:rsid w:val="001B34E1"/>
    <w:rsid w:val="001B4094"/>
    <w:rsid w:val="001B5778"/>
    <w:rsid w:val="001B59F7"/>
    <w:rsid w:val="001B60EA"/>
    <w:rsid w:val="001B6FB0"/>
    <w:rsid w:val="001B7180"/>
    <w:rsid w:val="001B79A0"/>
    <w:rsid w:val="001C02DC"/>
    <w:rsid w:val="001C030E"/>
    <w:rsid w:val="001C061B"/>
    <w:rsid w:val="001C4034"/>
    <w:rsid w:val="001C7C3E"/>
    <w:rsid w:val="001D342B"/>
    <w:rsid w:val="001D3A06"/>
    <w:rsid w:val="001D6D71"/>
    <w:rsid w:val="001E1CA3"/>
    <w:rsid w:val="001E2E8C"/>
    <w:rsid w:val="001E4A41"/>
    <w:rsid w:val="001E5EEF"/>
    <w:rsid w:val="001E6580"/>
    <w:rsid w:val="001F0101"/>
    <w:rsid w:val="001F245E"/>
    <w:rsid w:val="001F4019"/>
    <w:rsid w:val="001F48C6"/>
    <w:rsid w:val="001F6E76"/>
    <w:rsid w:val="00200D7F"/>
    <w:rsid w:val="002021BD"/>
    <w:rsid w:val="00205821"/>
    <w:rsid w:val="00206CA6"/>
    <w:rsid w:val="002108B8"/>
    <w:rsid w:val="00213EE5"/>
    <w:rsid w:val="00215AE3"/>
    <w:rsid w:val="00216126"/>
    <w:rsid w:val="002173BB"/>
    <w:rsid w:val="00224763"/>
    <w:rsid w:val="0022569D"/>
    <w:rsid w:val="0022572A"/>
    <w:rsid w:val="00237F99"/>
    <w:rsid w:val="002406F1"/>
    <w:rsid w:val="0024187C"/>
    <w:rsid w:val="00241CEC"/>
    <w:rsid w:val="00241D52"/>
    <w:rsid w:val="00242703"/>
    <w:rsid w:val="00242A67"/>
    <w:rsid w:val="002439E8"/>
    <w:rsid w:val="002447D0"/>
    <w:rsid w:val="00252B5D"/>
    <w:rsid w:val="00253307"/>
    <w:rsid w:val="002539B3"/>
    <w:rsid w:val="00257694"/>
    <w:rsid w:val="00260179"/>
    <w:rsid w:val="00260D07"/>
    <w:rsid w:val="00263492"/>
    <w:rsid w:val="00270A93"/>
    <w:rsid w:val="00270CD9"/>
    <w:rsid w:val="00271B01"/>
    <w:rsid w:val="0027474D"/>
    <w:rsid w:val="00274A9E"/>
    <w:rsid w:val="00275174"/>
    <w:rsid w:val="00280FE0"/>
    <w:rsid w:val="00281765"/>
    <w:rsid w:val="00283C4A"/>
    <w:rsid w:val="0028445F"/>
    <w:rsid w:val="00285CCD"/>
    <w:rsid w:val="002902BB"/>
    <w:rsid w:val="00290558"/>
    <w:rsid w:val="0029061C"/>
    <w:rsid w:val="00290DCE"/>
    <w:rsid w:val="00290F60"/>
    <w:rsid w:val="00294406"/>
    <w:rsid w:val="00295331"/>
    <w:rsid w:val="00295DA2"/>
    <w:rsid w:val="002A114A"/>
    <w:rsid w:val="002A1670"/>
    <w:rsid w:val="002A3ADC"/>
    <w:rsid w:val="002A3DA1"/>
    <w:rsid w:val="002A47B3"/>
    <w:rsid w:val="002A5410"/>
    <w:rsid w:val="002A637B"/>
    <w:rsid w:val="002A6D2C"/>
    <w:rsid w:val="002B0CAB"/>
    <w:rsid w:val="002B0FC7"/>
    <w:rsid w:val="002B0FC9"/>
    <w:rsid w:val="002B1ABF"/>
    <w:rsid w:val="002B3F00"/>
    <w:rsid w:val="002B422E"/>
    <w:rsid w:val="002B5562"/>
    <w:rsid w:val="002B6DE0"/>
    <w:rsid w:val="002C0B4B"/>
    <w:rsid w:val="002C0CB1"/>
    <w:rsid w:val="002C0DC7"/>
    <w:rsid w:val="002C1796"/>
    <w:rsid w:val="002C2C4B"/>
    <w:rsid w:val="002C3CCD"/>
    <w:rsid w:val="002C5CF3"/>
    <w:rsid w:val="002D09D4"/>
    <w:rsid w:val="002D167B"/>
    <w:rsid w:val="002D292F"/>
    <w:rsid w:val="002D48A4"/>
    <w:rsid w:val="002D6FEF"/>
    <w:rsid w:val="002E2490"/>
    <w:rsid w:val="002E30C6"/>
    <w:rsid w:val="002E4772"/>
    <w:rsid w:val="002E702C"/>
    <w:rsid w:val="002F1E85"/>
    <w:rsid w:val="002F3F5B"/>
    <w:rsid w:val="002F4AEB"/>
    <w:rsid w:val="002F6324"/>
    <w:rsid w:val="002F6435"/>
    <w:rsid w:val="002F6EF1"/>
    <w:rsid w:val="0030227E"/>
    <w:rsid w:val="00304127"/>
    <w:rsid w:val="00307AF1"/>
    <w:rsid w:val="0031016F"/>
    <w:rsid w:val="0031032B"/>
    <w:rsid w:val="00311DA3"/>
    <w:rsid w:val="003129CA"/>
    <w:rsid w:val="003138E8"/>
    <w:rsid w:val="0031501C"/>
    <w:rsid w:val="00315361"/>
    <w:rsid w:val="00315854"/>
    <w:rsid w:val="00315BBA"/>
    <w:rsid w:val="00320D86"/>
    <w:rsid w:val="00320E03"/>
    <w:rsid w:val="003210CF"/>
    <w:rsid w:val="00323054"/>
    <w:rsid w:val="003266DA"/>
    <w:rsid w:val="00326ADC"/>
    <w:rsid w:val="00331DEC"/>
    <w:rsid w:val="00332DA8"/>
    <w:rsid w:val="00333477"/>
    <w:rsid w:val="00340E5B"/>
    <w:rsid w:val="003464E7"/>
    <w:rsid w:val="00350097"/>
    <w:rsid w:val="003524E8"/>
    <w:rsid w:val="00352AF9"/>
    <w:rsid w:val="003536E4"/>
    <w:rsid w:val="00356B31"/>
    <w:rsid w:val="00356EFE"/>
    <w:rsid w:val="003609FF"/>
    <w:rsid w:val="00361C1B"/>
    <w:rsid w:val="00366306"/>
    <w:rsid w:val="00366D35"/>
    <w:rsid w:val="003715B7"/>
    <w:rsid w:val="00371DC2"/>
    <w:rsid w:val="00371FDD"/>
    <w:rsid w:val="00374E91"/>
    <w:rsid w:val="00376F5B"/>
    <w:rsid w:val="0037768C"/>
    <w:rsid w:val="003957BD"/>
    <w:rsid w:val="00396E1D"/>
    <w:rsid w:val="003978D2"/>
    <w:rsid w:val="003A0E65"/>
    <w:rsid w:val="003A1255"/>
    <w:rsid w:val="003A35F7"/>
    <w:rsid w:val="003A6BB9"/>
    <w:rsid w:val="003A71B8"/>
    <w:rsid w:val="003A74DC"/>
    <w:rsid w:val="003B1DF1"/>
    <w:rsid w:val="003B27D1"/>
    <w:rsid w:val="003B2B8D"/>
    <w:rsid w:val="003B2C91"/>
    <w:rsid w:val="003B2F28"/>
    <w:rsid w:val="003C02BB"/>
    <w:rsid w:val="003C1064"/>
    <w:rsid w:val="003C1541"/>
    <w:rsid w:val="003C6EC6"/>
    <w:rsid w:val="003C7BA0"/>
    <w:rsid w:val="003C7BD9"/>
    <w:rsid w:val="003D08E5"/>
    <w:rsid w:val="003D0D9B"/>
    <w:rsid w:val="003D157E"/>
    <w:rsid w:val="003D19E4"/>
    <w:rsid w:val="003D3875"/>
    <w:rsid w:val="003D51E3"/>
    <w:rsid w:val="003D746B"/>
    <w:rsid w:val="003D785D"/>
    <w:rsid w:val="003E26D8"/>
    <w:rsid w:val="003E2B58"/>
    <w:rsid w:val="003E2F4D"/>
    <w:rsid w:val="003E665D"/>
    <w:rsid w:val="003F0237"/>
    <w:rsid w:val="003F0F9F"/>
    <w:rsid w:val="003F16FD"/>
    <w:rsid w:val="003F3FB4"/>
    <w:rsid w:val="003F5A55"/>
    <w:rsid w:val="003F5FB2"/>
    <w:rsid w:val="003F7929"/>
    <w:rsid w:val="00403F77"/>
    <w:rsid w:val="00405868"/>
    <w:rsid w:val="004062AC"/>
    <w:rsid w:val="004124FC"/>
    <w:rsid w:val="004125E8"/>
    <w:rsid w:val="00413317"/>
    <w:rsid w:val="00415DD6"/>
    <w:rsid w:val="0042458F"/>
    <w:rsid w:val="00424BE5"/>
    <w:rsid w:val="00424D60"/>
    <w:rsid w:val="00424FF9"/>
    <w:rsid w:val="00427ACE"/>
    <w:rsid w:val="00430DA5"/>
    <w:rsid w:val="00430E81"/>
    <w:rsid w:val="00431149"/>
    <w:rsid w:val="00432468"/>
    <w:rsid w:val="00435333"/>
    <w:rsid w:val="004366F2"/>
    <w:rsid w:val="00437D47"/>
    <w:rsid w:val="004466F1"/>
    <w:rsid w:val="00446C16"/>
    <w:rsid w:val="00446ECE"/>
    <w:rsid w:val="004500A6"/>
    <w:rsid w:val="004509D8"/>
    <w:rsid w:val="004509F9"/>
    <w:rsid w:val="00452627"/>
    <w:rsid w:val="00452D44"/>
    <w:rsid w:val="00455807"/>
    <w:rsid w:val="0045655B"/>
    <w:rsid w:val="004579A8"/>
    <w:rsid w:val="004602FB"/>
    <w:rsid w:val="00462375"/>
    <w:rsid w:val="00462D77"/>
    <w:rsid w:val="0046470C"/>
    <w:rsid w:val="00464AA2"/>
    <w:rsid w:val="00465BCC"/>
    <w:rsid w:val="00466DD0"/>
    <w:rsid w:val="00471553"/>
    <w:rsid w:val="00472951"/>
    <w:rsid w:val="00474374"/>
    <w:rsid w:val="00475381"/>
    <w:rsid w:val="0048230E"/>
    <w:rsid w:val="00483C8C"/>
    <w:rsid w:val="00484BF7"/>
    <w:rsid w:val="00485D90"/>
    <w:rsid w:val="004861F1"/>
    <w:rsid w:val="00491D6F"/>
    <w:rsid w:val="00492175"/>
    <w:rsid w:val="00492DE3"/>
    <w:rsid w:val="00493AC4"/>
    <w:rsid w:val="00494460"/>
    <w:rsid w:val="00494BEE"/>
    <w:rsid w:val="004950CC"/>
    <w:rsid w:val="0049522C"/>
    <w:rsid w:val="00495C4A"/>
    <w:rsid w:val="004A111A"/>
    <w:rsid w:val="004A289B"/>
    <w:rsid w:val="004A2E10"/>
    <w:rsid w:val="004A2E2B"/>
    <w:rsid w:val="004A49AF"/>
    <w:rsid w:val="004A4BD6"/>
    <w:rsid w:val="004A56CF"/>
    <w:rsid w:val="004A5F05"/>
    <w:rsid w:val="004B0839"/>
    <w:rsid w:val="004B3E4A"/>
    <w:rsid w:val="004B497A"/>
    <w:rsid w:val="004B5FE5"/>
    <w:rsid w:val="004B649B"/>
    <w:rsid w:val="004C4C16"/>
    <w:rsid w:val="004C7CD5"/>
    <w:rsid w:val="004D1AA6"/>
    <w:rsid w:val="004D35A1"/>
    <w:rsid w:val="004D63F3"/>
    <w:rsid w:val="004D748D"/>
    <w:rsid w:val="004E19FC"/>
    <w:rsid w:val="004E4857"/>
    <w:rsid w:val="004E50ED"/>
    <w:rsid w:val="004F6273"/>
    <w:rsid w:val="00500F4D"/>
    <w:rsid w:val="00501807"/>
    <w:rsid w:val="00503101"/>
    <w:rsid w:val="005035DC"/>
    <w:rsid w:val="00503D88"/>
    <w:rsid w:val="00505099"/>
    <w:rsid w:val="00505770"/>
    <w:rsid w:val="00506A55"/>
    <w:rsid w:val="0050707B"/>
    <w:rsid w:val="00510BF3"/>
    <w:rsid w:val="0051212C"/>
    <w:rsid w:val="00513A76"/>
    <w:rsid w:val="005157AB"/>
    <w:rsid w:val="0051587F"/>
    <w:rsid w:val="00516631"/>
    <w:rsid w:val="005207A1"/>
    <w:rsid w:val="00522D89"/>
    <w:rsid w:val="0052367D"/>
    <w:rsid w:val="005246BB"/>
    <w:rsid w:val="005248C3"/>
    <w:rsid w:val="005256C6"/>
    <w:rsid w:val="0052584F"/>
    <w:rsid w:val="005262A2"/>
    <w:rsid w:val="00527376"/>
    <w:rsid w:val="005324F5"/>
    <w:rsid w:val="00533774"/>
    <w:rsid w:val="0054126E"/>
    <w:rsid w:val="00541E2F"/>
    <w:rsid w:val="005441C1"/>
    <w:rsid w:val="005453F9"/>
    <w:rsid w:val="005454CE"/>
    <w:rsid w:val="00546232"/>
    <w:rsid w:val="005466E7"/>
    <w:rsid w:val="00550DDB"/>
    <w:rsid w:val="00551FC2"/>
    <w:rsid w:val="0055209E"/>
    <w:rsid w:val="00555D36"/>
    <w:rsid w:val="0055634D"/>
    <w:rsid w:val="0056066D"/>
    <w:rsid w:val="00562957"/>
    <w:rsid w:val="005637B1"/>
    <w:rsid w:val="0056464D"/>
    <w:rsid w:val="005656AD"/>
    <w:rsid w:val="00566522"/>
    <w:rsid w:val="005677B6"/>
    <w:rsid w:val="00571B9D"/>
    <w:rsid w:val="0057411A"/>
    <w:rsid w:val="005745DF"/>
    <w:rsid w:val="00574DF3"/>
    <w:rsid w:val="00575CC6"/>
    <w:rsid w:val="00575CDE"/>
    <w:rsid w:val="00580B03"/>
    <w:rsid w:val="00581AE6"/>
    <w:rsid w:val="005826DB"/>
    <w:rsid w:val="005838F9"/>
    <w:rsid w:val="00583B9E"/>
    <w:rsid w:val="005841F0"/>
    <w:rsid w:val="00584907"/>
    <w:rsid w:val="005850B8"/>
    <w:rsid w:val="00587C70"/>
    <w:rsid w:val="005904E8"/>
    <w:rsid w:val="00591DCE"/>
    <w:rsid w:val="00593DFA"/>
    <w:rsid w:val="005947B2"/>
    <w:rsid w:val="00594803"/>
    <w:rsid w:val="00595EBA"/>
    <w:rsid w:val="005A076E"/>
    <w:rsid w:val="005A0CEA"/>
    <w:rsid w:val="005A0E35"/>
    <w:rsid w:val="005A25CB"/>
    <w:rsid w:val="005A39A9"/>
    <w:rsid w:val="005A79B9"/>
    <w:rsid w:val="005B2F3D"/>
    <w:rsid w:val="005B3CE7"/>
    <w:rsid w:val="005B5CDA"/>
    <w:rsid w:val="005B774E"/>
    <w:rsid w:val="005C1A9B"/>
    <w:rsid w:val="005C6858"/>
    <w:rsid w:val="005C6C57"/>
    <w:rsid w:val="005C7A78"/>
    <w:rsid w:val="005D1855"/>
    <w:rsid w:val="005D288E"/>
    <w:rsid w:val="005D3B41"/>
    <w:rsid w:val="005D4B60"/>
    <w:rsid w:val="005D656A"/>
    <w:rsid w:val="005D67C7"/>
    <w:rsid w:val="005E328B"/>
    <w:rsid w:val="005E5ABE"/>
    <w:rsid w:val="005E7FAA"/>
    <w:rsid w:val="005F28E1"/>
    <w:rsid w:val="005F653C"/>
    <w:rsid w:val="00602163"/>
    <w:rsid w:val="00602229"/>
    <w:rsid w:val="00602847"/>
    <w:rsid w:val="006031E9"/>
    <w:rsid w:val="00604FC1"/>
    <w:rsid w:val="00605212"/>
    <w:rsid w:val="00606D80"/>
    <w:rsid w:val="0061026F"/>
    <w:rsid w:val="00611116"/>
    <w:rsid w:val="00612D91"/>
    <w:rsid w:val="00612EC9"/>
    <w:rsid w:val="0061440D"/>
    <w:rsid w:val="00616A6C"/>
    <w:rsid w:val="006201C0"/>
    <w:rsid w:val="00621199"/>
    <w:rsid w:val="006215C1"/>
    <w:rsid w:val="006274BE"/>
    <w:rsid w:val="006302C2"/>
    <w:rsid w:val="0063089F"/>
    <w:rsid w:val="00631779"/>
    <w:rsid w:val="00631B55"/>
    <w:rsid w:val="00634275"/>
    <w:rsid w:val="0063486C"/>
    <w:rsid w:val="00634D71"/>
    <w:rsid w:val="00635F3E"/>
    <w:rsid w:val="0063747C"/>
    <w:rsid w:val="00641B79"/>
    <w:rsid w:val="00641D06"/>
    <w:rsid w:val="00642258"/>
    <w:rsid w:val="00644483"/>
    <w:rsid w:val="00645476"/>
    <w:rsid w:val="00646DCE"/>
    <w:rsid w:val="0065006B"/>
    <w:rsid w:val="00650317"/>
    <w:rsid w:val="00650D43"/>
    <w:rsid w:val="006520F4"/>
    <w:rsid w:val="00655BCD"/>
    <w:rsid w:val="00656301"/>
    <w:rsid w:val="00662DBD"/>
    <w:rsid w:val="006634D9"/>
    <w:rsid w:val="00670CE9"/>
    <w:rsid w:val="00673565"/>
    <w:rsid w:val="006743EF"/>
    <w:rsid w:val="00674887"/>
    <w:rsid w:val="006754A6"/>
    <w:rsid w:val="006760EE"/>
    <w:rsid w:val="00677D89"/>
    <w:rsid w:val="00681758"/>
    <w:rsid w:val="00681AAA"/>
    <w:rsid w:val="00683029"/>
    <w:rsid w:val="00683A23"/>
    <w:rsid w:val="00684441"/>
    <w:rsid w:val="006873BD"/>
    <w:rsid w:val="006909FE"/>
    <w:rsid w:val="006B0DEB"/>
    <w:rsid w:val="006B28D6"/>
    <w:rsid w:val="006B321F"/>
    <w:rsid w:val="006B368D"/>
    <w:rsid w:val="006B4AB5"/>
    <w:rsid w:val="006B4AE8"/>
    <w:rsid w:val="006B55D0"/>
    <w:rsid w:val="006B5F80"/>
    <w:rsid w:val="006B6344"/>
    <w:rsid w:val="006B79A2"/>
    <w:rsid w:val="006C1547"/>
    <w:rsid w:val="006C15C7"/>
    <w:rsid w:val="006C2DC3"/>
    <w:rsid w:val="006C369E"/>
    <w:rsid w:val="006C4192"/>
    <w:rsid w:val="006C4BAB"/>
    <w:rsid w:val="006C4D3B"/>
    <w:rsid w:val="006D09D3"/>
    <w:rsid w:val="006D1E31"/>
    <w:rsid w:val="006D5916"/>
    <w:rsid w:val="006D6D60"/>
    <w:rsid w:val="006E4BD8"/>
    <w:rsid w:val="006E4C3D"/>
    <w:rsid w:val="006E6944"/>
    <w:rsid w:val="006E7FD9"/>
    <w:rsid w:val="006F131F"/>
    <w:rsid w:val="006F43CA"/>
    <w:rsid w:val="006F489A"/>
    <w:rsid w:val="006F5780"/>
    <w:rsid w:val="006F5CB3"/>
    <w:rsid w:val="006F6433"/>
    <w:rsid w:val="006F6BAF"/>
    <w:rsid w:val="006F7412"/>
    <w:rsid w:val="006F7B8E"/>
    <w:rsid w:val="00701241"/>
    <w:rsid w:val="00702C32"/>
    <w:rsid w:val="00706AA4"/>
    <w:rsid w:val="007077F0"/>
    <w:rsid w:val="00707D8D"/>
    <w:rsid w:val="007111E6"/>
    <w:rsid w:val="007137A3"/>
    <w:rsid w:val="00720045"/>
    <w:rsid w:val="0072155C"/>
    <w:rsid w:val="007218CE"/>
    <w:rsid w:val="00724DBD"/>
    <w:rsid w:val="00730491"/>
    <w:rsid w:val="00730678"/>
    <w:rsid w:val="0074007B"/>
    <w:rsid w:val="00742290"/>
    <w:rsid w:val="00742828"/>
    <w:rsid w:val="00746E8F"/>
    <w:rsid w:val="00747D37"/>
    <w:rsid w:val="007523BA"/>
    <w:rsid w:val="00752F4F"/>
    <w:rsid w:val="00754457"/>
    <w:rsid w:val="0075547A"/>
    <w:rsid w:val="00757117"/>
    <w:rsid w:val="00761231"/>
    <w:rsid w:val="007616A7"/>
    <w:rsid w:val="00762C1E"/>
    <w:rsid w:val="007668C6"/>
    <w:rsid w:val="0076745A"/>
    <w:rsid w:val="007675BE"/>
    <w:rsid w:val="0076784A"/>
    <w:rsid w:val="00771921"/>
    <w:rsid w:val="00773781"/>
    <w:rsid w:val="00774D3C"/>
    <w:rsid w:val="007819E8"/>
    <w:rsid w:val="00781A77"/>
    <w:rsid w:val="00782AB4"/>
    <w:rsid w:val="00791EC9"/>
    <w:rsid w:val="007921A4"/>
    <w:rsid w:val="00792E8E"/>
    <w:rsid w:val="007937BC"/>
    <w:rsid w:val="00796579"/>
    <w:rsid w:val="00796FF7"/>
    <w:rsid w:val="007A16E5"/>
    <w:rsid w:val="007A1877"/>
    <w:rsid w:val="007A6C30"/>
    <w:rsid w:val="007A7001"/>
    <w:rsid w:val="007A7825"/>
    <w:rsid w:val="007B2C98"/>
    <w:rsid w:val="007B2CF6"/>
    <w:rsid w:val="007B542D"/>
    <w:rsid w:val="007B6153"/>
    <w:rsid w:val="007B7109"/>
    <w:rsid w:val="007B72A0"/>
    <w:rsid w:val="007B7376"/>
    <w:rsid w:val="007C0F24"/>
    <w:rsid w:val="007C1ECE"/>
    <w:rsid w:val="007C49EE"/>
    <w:rsid w:val="007C65FE"/>
    <w:rsid w:val="007C67CE"/>
    <w:rsid w:val="007C7DA4"/>
    <w:rsid w:val="007D132B"/>
    <w:rsid w:val="007D1A81"/>
    <w:rsid w:val="007D796C"/>
    <w:rsid w:val="007E4708"/>
    <w:rsid w:val="007E547B"/>
    <w:rsid w:val="007E6769"/>
    <w:rsid w:val="007F0337"/>
    <w:rsid w:val="007F1EF3"/>
    <w:rsid w:val="007F5618"/>
    <w:rsid w:val="007F7EB9"/>
    <w:rsid w:val="008015AD"/>
    <w:rsid w:val="00812918"/>
    <w:rsid w:val="00812B0E"/>
    <w:rsid w:val="00813277"/>
    <w:rsid w:val="008142A4"/>
    <w:rsid w:val="0081703F"/>
    <w:rsid w:val="00817A6F"/>
    <w:rsid w:val="00817AC9"/>
    <w:rsid w:val="00825559"/>
    <w:rsid w:val="0082659B"/>
    <w:rsid w:val="00826E5E"/>
    <w:rsid w:val="00826F57"/>
    <w:rsid w:val="00830EC1"/>
    <w:rsid w:val="00834468"/>
    <w:rsid w:val="008351F7"/>
    <w:rsid w:val="008367F7"/>
    <w:rsid w:val="00841497"/>
    <w:rsid w:val="008447BE"/>
    <w:rsid w:val="00844C3B"/>
    <w:rsid w:val="00844D79"/>
    <w:rsid w:val="00846FD0"/>
    <w:rsid w:val="00847387"/>
    <w:rsid w:val="00850DF5"/>
    <w:rsid w:val="0085412B"/>
    <w:rsid w:val="008547E4"/>
    <w:rsid w:val="00854DA6"/>
    <w:rsid w:val="0085549A"/>
    <w:rsid w:val="00856A82"/>
    <w:rsid w:val="00857FED"/>
    <w:rsid w:val="00860733"/>
    <w:rsid w:val="008610FD"/>
    <w:rsid w:val="00862167"/>
    <w:rsid w:val="00864AA6"/>
    <w:rsid w:val="00870ED7"/>
    <w:rsid w:val="0087144F"/>
    <w:rsid w:val="008727DE"/>
    <w:rsid w:val="008728BB"/>
    <w:rsid w:val="0087485F"/>
    <w:rsid w:val="00876454"/>
    <w:rsid w:val="00876A88"/>
    <w:rsid w:val="00880A01"/>
    <w:rsid w:val="00880A04"/>
    <w:rsid w:val="008824E0"/>
    <w:rsid w:val="00883AF1"/>
    <w:rsid w:val="0088534D"/>
    <w:rsid w:val="00886553"/>
    <w:rsid w:val="00886996"/>
    <w:rsid w:val="00886EE1"/>
    <w:rsid w:val="00886F96"/>
    <w:rsid w:val="00890CDF"/>
    <w:rsid w:val="0089526E"/>
    <w:rsid w:val="00896D0D"/>
    <w:rsid w:val="00897207"/>
    <w:rsid w:val="00897F53"/>
    <w:rsid w:val="008A01D3"/>
    <w:rsid w:val="008A1478"/>
    <w:rsid w:val="008A2A6A"/>
    <w:rsid w:val="008B02B9"/>
    <w:rsid w:val="008B31A7"/>
    <w:rsid w:val="008B44B1"/>
    <w:rsid w:val="008C2071"/>
    <w:rsid w:val="008C22A3"/>
    <w:rsid w:val="008C3DEB"/>
    <w:rsid w:val="008C57AA"/>
    <w:rsid w:val="008C5EFA"/>
    <w:rsid w:val="008C61D7"/>
    <w:rsid w:val="008C6AC3"/>
    <w:rsid w:val="008C7713"/>
    <w:rsid w:val="008D6320"/>
    <w:rsid w:val="008D6A7D"/>
    <w:rsid w:val="008E104A"/>
    <w:rsid w:val="008E3DEA"/>
    <w:rsid w:val="008E4DA8"/>
    <w:rsid w:val="008E6867"/>
    <w:rsid w:val="008E68F6"/>
    <w:rsid w:val="008E6904"/>
    <w:rsid w:val="008E717D"/>
    <w:rsid w:val="008E749C"/>
    <w:rsid w:val="008F49AC"/>
    <w:rsid w:val="00900016"/>
    <w:rsid w:val="00903BEF"/>
    <w:rsid w:val="00903D9F"/>
    <w:rsid w:val="009055F9"/>
    <w:rsid w:val="0091092E"/>
    <w:rsid w:val="009127C3"/>
    <w:rsid w:val="0091329A"/>
    <w:rsid w:val="0091405D"/>
    <w:rsid w:val="0093087C"/>
    <w:rsid w:val="009356C9"/>
    <w:rsid w:val="00935CB1"/>
    <w:rsid w:val="00936131"/>
    <w:rsid w:val="0094033B"/>
    <w:rsid w:val="009427C1"/>
    <w:rsid w:val="0094519C"/>
    <w:rsid w:val="009461CB"/>
    <w:rsid w:val="00946353"/>
    <w:rsid w:val="009466A1"/>
    <w:rsid w:val="0094751D"/>
    <w:rsid w:val="00950D8D"/>
    <w:rsid w:val="00950DA7"/>
    <w:rsid w:val="009519F2"/>
    <w:rsid w:val="009541FA"/>
    <w:rsid w:val="00955156"/>
    <w:rsid w:val="009557A5"/>
    <w:rsid w:val="009600AA"/>
    <w:rsid w:val="00963011"/>
    <w:rsid w:val="00965412"/>
    <w:rsid w:val="0097010D"/>
    <w:rsid w:val="00971731"/>
    <w:rsid w:val="00971A42"/>
    <w:rsid w:val="009728BF"/>
    <w:rsid w:val="009733B8"/>
    <w:rsid w:val="009739DE"/>
    <w:rsid w:val="00973EEC"/>
    <w:rsid w:val="00974028"/>
    <w:rsid w:val="00976512"/>
    <w:rsid w:val="00976633"/>
    <w:rsid w:val="0098584C"/>
    <w:rsid w:val="00985F13"/>
    <w:rsid w:val="009868AA"/>
    <w:rsid w:val="00994A07"/>
    <w:rsid w:val="009A3F23"/>
    <w:rsid w:val="009A4292"/>
    <w:rsid w:val="009A4780"/>
    <w:rsid w:val="009A4E90"/>
    <w:rsid w:val="009A66BD"/>
    <w:rsid w:val="009A7434"/>
    <w:rsid w:val="009A755C"/>
    <w:rsid w:val="009A7D57"/>
    <w:rsid w:val="009B014C"/>
    <w:rsid w:val="009B08FE"/>
    <w:rsid w:val="009B13AA"/>
    <w:rsid w:val="009B2587"/>
    <w:rsid w:val="009B2892"/>
    <w:rsid w:val="009B2CE7"/>
    <w:rsid w:val="009B3288"/>
    <w:rsid w:val="009B46C3"/>
    <w:rsid w:val="009B724B"/>
    <w:rsid w:val="009C0EDF"/>
    <w:rsid w:val="009C15F6"/>
    <w:rsid w:val="009C2B3E"/>
    <w:rsid w:val="009C3FA2"/>
    <w:rsid w:val="009C5379"/>
    <w:rsid w:val="009C7591"/>
    <w:rsid w:val="009D4E3E"/>
    <w:rsid w:val="009D5D94"/>
    <w:rsid w:val="009D7019"/>
    <w:rsid w:val="009D7AD9"/>
    <w:rsid w:val="009E0808"/>
    <w:rsid w:val="009E1360"/>
    <w:rsid w:val="009E1CDA"/>
    <w:rsid w:val="009E2146"/>
    <w:rsid w:val="009E3961"/>
    <w:rsid w:val="009E3BED"/>
    <w:rsid w:val="009E4305"/>
    <w:rsid w:val="009E5411"/>
    <w:rsid w:val="009E72FB"/>
    <w:rsid w:val="009E7876"/>
    <w:rsid w:val="009F3273"/>
    <w:rsid w:val="009F35F7"/>
    <w:rsid w:val="009F37B7"/>
    <w:rsid w:val="00A00316"/>
    <w:rsid w:val="00A02894"/>
    <w:rsid w:val="00A044B6"/>
    <w:rsid w:val="00A05A0E"/>
    <w:rsid w:val="00A1002E"/>
    <w:rsid w:val="00A1071B"/>
    <w:rsid w:val="00A11127"/>
    <w:rsid w:val="00A122F2"/>
    <w:rsid w:val="00A13C8E"/>
    <w:rsid w:val="00A142F5"/>
    <w:rsid w:val="00A15718"/>
    <w:rsid w:val="00A16CF6"/>
    <w:rsid w:val="00A20D53"/>
    <w:rsid w:val="00A2568F"/>
    <w:rsid w:val="00A3081B"/>
    <w:rsid w:val="00A309A8"/>
    <w:rsid w:val="00A31E11"/>
    <w:rsid w:val="00A3470B"/>
    <w:rsid w:val="00A3626A"/>
    <w:rsid w:val="00A37459"/>
    <w:rsid w:val="00A40DBB"/>
    <w:rsid w:val="00A44985"/>
    <w:rsid w:val="00A44A9A"/>
    <w:rsid w:val="00A45623"/>
    <w:rsid w:val="00A471A1"/>
    <w:rsid w:val="00A51AF6"/>
    <w:rsid w:val="00A527FC"/>
    <w:rsid w:val="00A528AA"/>
    <w:rsid w:val="00A550EE"/>
    <w:rsid w:val="00A55996"/>
    <w:rsid w:val="00A56651"/>
    <w:rsid w:val="00A57942"/>
    <w:rsid w:val="00A610B3"/>
    <w:rsid w:val="00A62EFC"/>
    <w:rsid w:val="00A6351D"/>
    <w:rsid w:val="00A63F82"/>
    <w:rsid w:val="00A677BC"/>
    <w:rsid w:val="00A738F2"/>
    <w:rsid w:val="00A77380"/>
    <w:rsid w:val="00A77422"/>
    <w:rsid w:val="00A80EA5"/>
    <w:rsid w:val="00A83EF1"/>
    <w:rsid w:val="00A84AE0"/>
    <w:rsid w:val="00A84E91"/>
    <w:rsid w:val="00A85E05"/>
    <w:rsid w:val="00A944CD"/>
    <w:rsid w:val="00A96186"/>
    <w:rsid w:val="00A97E2B"/>
    <w:rsid w:val="00AA1E49"/>
    <w:rsid w:val="00AA256F"/>
    <w:rsid w:val="00AA66EE"/>
    <w:rsid w:val="00AA7FE9"/>
    <w:rsid w:val="00AB0CEB"/>
    <w:rsid w:val="00AB1767"/>
    <w:rsid w:val="00AB1E6F"/>
    <w:rsid w:val="00AB3451"/>
    <w:rsid w:val="00AB4135"/>
    <w:rsid w:val="00AB5CB8"/>
    <w:rsid w:val="00AB69BF"/>
    <w:rsid w:val="00AC0CC8"/>
    <w:rsid w:val="00AC11D2"/>
    <w:rsid w:val="00AC1FF8"/>
    <w:rsid w:val="00AC2535"/>
    <w:rsid w:val="00AC36F4"/>
    <w:rsid w:val="00AC3AE2"/>
    <w:rsid w:val="00AC432D"/>
    <w:rsid w:val="00AC49FE"/>
    <w:rsid w:val="00AC5996"/>
    <w:rsid w:val="00AD019B"/>
    <w:rsid w:val="00AD0FAC"/>
    <w:rsid w:val="00AD3410"/>
    <w:rsid w:val="00AD4432"/>
    <w:rsid w:val="00AD7E2A"/>
    <w:rsid w:val="00AE0BB7"/>
    <w:rsid w:val="00AE367B"/>
    <w:rsid w:val="00AE41C8"/>
    <w:rsid w:val="00AE7A2B"/>
    <w:rsid w:val="00AF2879"/>
    <w:rsid w:val="00AF3381"/>
    <w:rsid w:val="00AF4D76"/>
    <w:rsid w:val="00AF4F77"/>
    <w:rsid w:val="00AF6162"/>
    <w:rsid w:val="00B02D93"/>
    <w:rsid w:val="00B04F2E"/>
    <w:rsid w:val="00B0524E"/>
    <w:rsid w:val="00B15A9A"/>
    <w:rsid w:val="00B201B7"/>
    <w:rsid w:val="00B2324F"/>
    <w:rsid w:val="00B243A0"/>
    <w:rsid w:val="00B27191"/>
    <w:rsid w:val="00B30040"/>
    <w:rsid w:val="00B30307"/>
    <w:rsid w:val="00B33165"/>
    <w:rsid w:val="00B335B0"/>
    <w:rsid w:val="00B34B84"/>
    <w:rsid w:val="00B35810"/>
    <w:rsid w:val="00B35C02"/>
    <w:rsid w:val="00B41FA4"/>
    <w:rsid w:val="00B45D67"/>
    <w:rsid w:val="00B463D0"/>
    <w:rsid w:val="00B46CBB"/>
    <w:rsid w:val="00B52854"/>
    <w:rsid w:val="00B53E32"/>
    <w:rsid w:val="00B5519C"/>
    <w:rsid w:val="00B55990"/>
    <w:rsid w:val="00B55AD3"/>
    <w:rsid w:val="00B56128"/>
    <w:rsid w:val="00B615FF"/>
    <w:rsid w:val="00B618CB"/>
    <w:rsid w:val="00B62196"/>
    <w:rsid w:val="00B63A16"/>
    <w:rsid w:val="00B70B3A"/>
    <w:rsid w:val="00B73164"/>
    <w:rsid w:val="00B73295"/>
    <w:rsid w:val="00B73FF0"/>
    <w:rsid w:val="00B74434"/>
    <w:rsid w:val="00B7795D"/>
    <w:rsid w:val="00B82104"/>
    <w:rsid w:val="00B8248F"/>
    <w:rsid w:val="00B8444E"/>
    <w:rsid w:val="00B84684"/>
    <w:rsid w:val="00B85635"/>
    <w:rsid w:val="00B86477"/>
    <w:rsid w:val="00B93581"/>
    <w:rsid w:val="00B9359C"/>
    <w:rsid w:val="00B95562"/>
    <w:rsid w:val="00B96A2B"/>
    <w:rsid w:val="00B976AF"/>
    <w:rsid w:val="00BA1D20"/>
    <w:rsid w:val="00BA2335"/>
    <w:rsid w:val="00BB056B"/>
    <w:rsid w:val="00BB3A37"/>
    <w:rsid w:val="00BB4607"/>
    <w:rsid w:val="00BB4973"/>
    <w:rsid w:val="00BB4AE5"/>
    <w:rsid w:val="00BB7BCB"/>
    <w:rsid w:val="00BC0633"/>
    <w:rsid w:val="00BC10A4"/>
    <w:rsid w:val="00BC1B17"/>
    <w:rsid w:val="00BC2551"/>
    <w:rsid w:val="00BC2886"/>
    <w:rsid w:val="00BC35D1"/>
    <w:rsid w:val="00BC46EF"/>
    <w:rsid w:val="00BD7793"/>
    <w:rsid w:val="00BE1A84"/>
    <w:rsid w:val="00BE29B6"/>
    <w:rsid w:val="00BE39D1"/>
    <w:rsid w:val="00BE3C61"/>
    <w:rsid w:val="00BE419C"/>
    <w:rsid w:val="00BE5AB6"/>
    <w:rsid w:val="00BE63FF"/>
    <w:rsid w:val="00BE6A18"/>
    <w:rsid w:val="00BE7729"/>
    <w:rsid w:val="00BE77C5"/>
    <w:rsid w:val="00BF3D4B"/>
    <w:rsid w:val="00BF477A"/>
    <w:rsid w:val="00BF5B91"/>
    <w:rsid w:val="00BF6AE5"/>
    <w:rsid w:val="00C00728"/>
    <w:rsid w:val="00C009BC"/>
    <w:rsid w:val="00C035FE"/>
    <w:rsid w:val="00C03771"/>
    <w:rsid w:val="00C06160"/>
    <w:rsid w:val="00C06BED"/>
    <w:rsid w:val="00C07E9E"/>
    <w:rsid w:val="00C103F2"/>
    <w:rsid w:val="00C12AC6"/>
    <w:rsid w:val="00C149B5"/>
    <w:rsid w:val="00C16842"/>
    <w:rsid w:val="00C17A05"/>
    <w:rsid w:val="00C200CB"/>
    <w:rsid w:val="00C216F7"/>
    <w:rsid w:val="00C22936"/>
    <w:rsid w:val="00C26388"/>
    <w:rsid w:val="00C27B39"/>
    <w:rsid w:val="00C30DE7"/>
    <w:rsid w:val="00C32260"/>
    <w:rsid w:val="00C34344"/>
    <w:rsid w:val="00C347D1"/>
    <w:rsid w:val="00C35939"/>
    <w:rsid w:val="00C35C9D"/>
    <w:rsid w:val="00C36B37"/>
    <w:rsid w:val="00C37585"/>
    <w:rsid w:val="00C3795F"/>
    <w:rsid w:val="00C4028B"/>
    <w:rsid w:val="00C409B8"/>
    <w:rsid w:val="00C409FB"/>
    <w:rsid w:val="00C41C13"/>
    <w:rsid w:val="00C43588"/>
    <w:rsid w:val="00C43BDA"/>
    <w:rsid w:val="00C46EC5"/>
    <w:rsid w:val="00C47BD9"/>
    <w:rsid w:val="00C5145D"/>
    <w:rsid w:val="00C52103"/>
    <w:rsid w:val="00C52A79"/>
    <w:rsid w:val="00C53501"/>
    <w:rsid w:val="00C539E2"/>
    <w:rsid w:val="00C54CBF"/>
    <w:rsid w:val="00C5505A"/>
    <w:rsid w:val="00C57FFA"/>
    <w:rsid w:val="00C70CBA"/>
    <w:rsid w:val="00C72565"/>
    <w:rsid w:val="00C744E3"/>
    <w:rsid w:val="00C767ED"/>
    <w:rsid w:val="00C81651"/>
    <w:rsid w:val="00C82C07"/>
    <w:rsid w:val="00C850E3"/>
    <w:rsid w:val="00C902D4"/>
    <w:rsid w:val="00C9149C"/>
    <w:rsid w:val="00C93C81"/>
    <w:rsid w:val="00C97771"/>
    <w:rsid w:val="00CA02DC"/>
    <w:rsid w:val="00CA348C"/>
    <w:rsid w:val="00CA5BA3"/>
    <w:rsid w:val="00CB0191"/>
    <w:rsid w:val="00CB514E"/>
    <w:rsid w:val="00CB52EC"/>
    <w:rsid w:val="00CB6396"/>
    <w:rsid w:val="00CB6A62"/>
    <w:rsid w:val="00CC19A4"/>
    <w:rsid w:val="00CC1F88"/>
    <w:rsid w:val="00CC24B8"/>
    <w:rsid w:val="00CC5565"/>
    <w:rsid w:val="00CC6AF0"/>
    <w:rsid w:val="00CD1E8B"/>
    <w:rsid w:val="00CD276F"/>
    <w:rsid w:val="00CD3BE6"/>
    <w:rsid w:val="00CD3D7E"/>
    <w:rsid w:val="00CD4969"/>
    <w:rsid w:val="00CD5A79"/>
    <w:rsid w:val="00CE17D5"/>
    <w:rsid w:val="00CE20DB"/>
    <w:rsid w:val="00CE5535"/>
    <w:rsid w:val="00CE682A"/>
    <w:rsid w:val="00CF3673"/>
    <w:rsid w:val="00CF3732"/>
    <w:rsid w:val="00D034D2"/>
    <w:rsid w:val="00D07804"/>
    <w:rsid w:val="00D118B1"/>
    <w:rsid w:val="00D134AA"/>
    <w:rsid w:val="00D21532"/>
    <w:rsid w:val="00D2465D"/>
    <w:rsid w:val="00D24EB3"/>
    <w:rsid w:val="00D329DE"/>
    <w:rsid w:val="00D362B0"/>
    <w:rsid w:val="00D40A95"/>
    <w:rsid w:val="00D416AD"/>
    <w:rsid w:val="00D438F0"/>
    <w:rsid w:val="00D45BE3"/>
    <w:rsid w:val="00D5033C"/>
    <w:rsid w:val="00D50636"/>
    <w:rsid w:val="00D509C0"/>
    <w:rsid w:val="00D513DA"/>
    <w:rsid w:val="00D524BE"/>
    <w:rsid w:val="00D52729"/>
    <w:rsid w:val="00D52CAB"/>
    <w:rsid w:val="00D54423"/>
    <w:rsid w:val="00D55D94"/>
    <w:rsid w:val="00D57290"/>
    <w:rsid w:val="00D6035F"/>
    <w:rsid w:val="00D606EE"/>
    <w:rsid w:val="00D64FB9"/>
    <w:rsid w:val="00D6575B"/>
    <w:rsid w:val="00D701EC"/>
    <w:rsid w:val="00D7171A"/>
    <w:rsid w:val="00D807CC"/>
    <w:rsid w:val="00D8081C"/>
    <w:rsid w:val="00D81363"/>
    <w:rsid w:val="00D81F9E"/>
    <w:rsid w:val="00D8235D"/>
    <w:rsid w:val="00D845CE"/>
    <w:rsid w:val="00D86BE7"/>
    <w:rsid w:val="00D86C35"/>
    <w:rsid w:val="00D901FF"/>
    <w:rsid w:val="00D91DB0"/>
    <w:rsid w:val="00D934C3"/>
    <w:rsid w:val="00D93B61"/>
    <w:rsid w:val="00D93CCB"/>
    <w:rsid w:val="00D94C7C"/>
    <w:rsid w:val="00D958E2"/>
    <w:rsid w:val="00D979F9"/>
    <w:rsid w:val="00DA39A3"/>
    <w:rsid w:val="00DB42AC"/>
    <w:rsid w:val="00DB4418"/>
    <w:rsid w:val="00DB4605"/>
    <w:rsid w:val="00DB48D6"/>
    <w:rsid w:val="00DB4D11"/>
    <w:rsid w:val="00DB7F2C"/>
    <w:rsid w:val="00DC184B"/>
    <w:rsid w:val="00DC6B6D"/>
    <w:rsid w:val="00DD3776"/>
    <w:rsid w:val="00DD687E"/>
    <w:rsid w:val="00DD783E"/>
    <w:rsid w:val="00DE0277"/>
    <w:rsid w:val="00DE3B7C"/>
    <w:rsid w:val="00DE3F7E"/>
    <w:rsid w:val="00DE432E"/>
    <w:rsid w:val="00DE5133"/>
    <w:rsid w:val="00DE5EE4"/>
    <w:rsid w:val="00DE60EF"/>
    <w:rsid w:val="00DF12C7"/>
    <w:rsid w:val="00DF2514"/>
    <w:rsid w:val="00DF7004"/>
    <w:rsid w:val="00DF7697"/>
    <w:rsid w:val="00DF79D5"/>
    <w:rsid w:val="00DF7F1A"/>
    <w:rsid w:val="00E02DFC"/>
    <w:rsid w:val="00E056EB"/>
    <w:rsid w:val="00E0750C"/>
    <w:rsid w:val="00E106E5"/>
    <w:rsid w:val="00E10A73"/>
    <w:rsid w:val="00E10D05"/>
    <w:rsid w:val="00E14AF0"/>
    <w:rsid w:val="00E15CC9"/>
    <w:rsid w:val="00E205D4"/>
    <w:rsid w:val="00E219AD"/>
    <w:rsid w:val="00E22EDE"/>
    <w:rsid w:val="00E23A5C"/>
    <w:rsid w:val="00E23CD5"/>
    <w:rsid w:val="00E269B7"/>
    <w:rsid w:val="00E277C1"/>
    <w:rsid w:val="00E3120E"/>
    <w:rsid w:val="00E3208A"/>
    <w:rsid w:val="00E3320B"/>
    <w:rsid w:val="00E33961"/>
    <w:rsid w:val="00E33B75"/>
    <w:rsid w:val="00E34346"/>
    <w:rsid w:val="00E43BB9"/>
    <w:rsid w:val="00E44C25"/>
    <w:rsid w:val="00E50FE2"/>
    <w:rsid w:val="00E512C9"/>
    <w:rsid w:val="00E53F13"/>
    <w:rsid w:val="00E62893"/>
    <w:rsid w:val="00E66E03"/>
    <w:rsid w:val="00E7107B"/>
    <w:rsid w:val="00E726F3"/>
    <w:rsid w:val="00E73C2B"/>
    <w:rsid w:val="00E74A01"/>
    <w:rsid w:val="00E80A2D"/>
    <w:rsid w:val="00E81ED8"/>
    <w:rsid w:val="00E83E90"/>
    <w:rsid w:val="00E8672C"/>
    <w:rsid w:val="00E90D82"/>
    <w:rsid w:val="00E9217A"/>
    <w:rsid w:val="00E97A10"/>
    <w:rsid w:val="00EA05C9"/>
    <w:rsid w:val="00EA6C4F"/>
    <w:rsid w:val="00EB07AE"/>
    <w:rsid w:val="00EB16EF"/>
    <w:rsid w:val="00EB2182"/>
    <w:rsid w:val="00EB23D0"/>
    <w:rsid w:val="00EB3456"/>
    <w:rsid w:val="00EB6193"/>
    <w:rsid w:val="00EC0B5F"/>
    <w:rsid w:val="00EC1AB3"/>
    <w:rsid w:val="00EC21A7"/>
    <w:rsid w:val="00EC2AE8"/>
    <w:rsid w:val="00ED035F"/>
    <w:rsid w:val="00ED093D"/>
    <w:rsid w:val="00ED178E"/>
    <w:rsid w:val="00ED1B4D"/>
    <w:rsid w:val="00ED43F7"/>
    <w:rsid w:val="00EE240F"/>
    <w:rsid w:val="00EE2C13"/>
    <w:rsid w:val="00EE2F8A"/>
    <w:rsid w:val="00EE346B"/>
    <w:rsid w:val="00EE4B30"/>
    <w:rsid w:val="00EF0FE3"/>
    <w:rsid w:val="00EF2CFE"/>
    <w:rsid w:val="00EF646E"/>
    <w:rsid w:val="00EF7AA5"/>
    <w:rsid w:val="00EF7D6E"/>
    <w:rsid w:val="00F00852"/>
    <w:rsid w:val="00F00D7A"/>
    <w:rsid w:val="00F0594F"/>
    <w:rsid w:val="00F067D5"/>
    <w:rsid w:val="00F0742D"/>
    <w:rsid w:val="00F14B15"/>
    <w:rsid w:val="00F1523E"/>
    <w:rsid w:val="00F1528E"/>
    <w:rsid w:val="00F15F4B"/>
    <w:rsid w:val="00F16CF1"/>
    <w:rsid w:val="00F17060"/>
    <w:rsid w:val="00F21F5D"/>
    <w:rsid w:val="00F2200C"/>
    <w:rsid w:val="00F231D0"/>
    <w:rsid w:val="00F2385B"/>
    <w:rsid w:val="00F23CDA"/>
    <w:rsid w:val="00F30BA7"/>
    <w:rsid w:val="00F32EDE"/>
    <w:rsid w:val="00F3566B"/>
    <w:rsid w:val="00F356E3"/>
    <w:rsid w:val="00F3693F"/>
    <w:rsid w:val="00F369CC"/>
    <w:rsid w:val="00F36C0E"/>
    <w:rsid w:val="00F40C65"/>
    <w:rsid w:val="00F43670"/>
    <w:rsid w:val="00F43FDE"/>
    <w:rsid w:val="00F442A2"/>
    <w:rsid w:val="00F50E58"/>
    <w:rsid w:val="00F5114F"/>
    <w:rsid w:val="00F54CE6"/>
    <w:rsid w:val="00F5590D"/>
    <w:rsid w:val="00F564FB"/>
    <w:rsid w:val="00F5714E"/>
    <w:rsid w:val="00F57B02"/>
    <w:rsid w:val="00F60748"/>
    <w:rsid w:val="00F60DC5"/>
    <w:rsid w:val="00F6263E"/>
    <w:rsid w:val="00F632EB"/>
    <w:rsid w:val="00F63F8D"/>
    <w:rsid w:val="00F6482A"/>
    <w:rsid w:val="00F7070A"/>
    <w:rsid w:val="00F7131E"/>
    <w:rsid w:val="00F73E46"/>
    <w:rsid w:val="00F74439"/>
    <w:rsid w:val="00F74F0B"/>
    <w:rsid w:val="00F759F9"/>
    <w:rsid w:val="00F761E4"/>
    <w:rsid w:val="00F805A2"/>
    <w:rsid w:val="00F80810"/>
    <w:rsid w:val="00F82ADE"/>
    <w:rsid w:val="00F83DDA"/>
    <w:rsid w:val="00F858F0"/>
    <w:rsid w:val="00F86943"/>
    <w:rsid w:val="00F87AC6"/>
    <w:rsid w:val="00F9274E"/>
    <w:rsid w:val="00F92BDF"/>
    <w:rsid w:val="00F936F4"/>
    <w:rsid w:val="00F93C9C"/>
    <w:rsid w:val="00F9459D"/>
    <w:rsid w:val="00F96159"/>
    <w:rsid w:val="00F96E14"/>
    <w:rsid w:val="00F97A7A"/>
    <w:rsid w:val="00FA0F20"/>
    <w:rsid w:val="00FA1A25"/>
    <w:rsid w:val="00FA2FDC"/>
    <w:rsid w:val="00FA38CD"/>
    <w:rsid w:val="00FB14CB"/>
    <w:rsid w:val="00FB4380"/>
    <w:rsid w:val="00FB4EFA"/>
    <w:rsid w:val="00FB64A7"/>
    <w:rsid w:val="00FB75DB"/>
    <w:rsid w:val="00FC3148"/>
    <w:rsid w:val="00FC7B12"/>
    <w:rsid w:val="00FD2275"/>
    <w:rsid w:val="00FD32CB"/>
    <w:rsid w:val="00FD4C3E"/>
    <w:rsid w:val="00FE26FA"/>
    <w:rsid w:val="00FE36CD"/>
    <w:rsid w:val="00FE390C"/>
    <w:rsid w:val="00FE4021"/>
    <w:rsid w:val="00FE54C9"/>
    <w:rsid w:val="00FE57D2"/>
    <w:rsid w:val="00FE685C"/>
    <w:rsid w:val="00FF0B32"/>
    <w:rsid w:val="00FF151D"/>
    <w:rsid w:val="00FF45CA"/>
    <w:rsid w:val="00FF50FA"/>
    <w:rsid w:val="00FF617A"/>
    <w:rsid w:val="00FF7A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F748B"/>
  <w15:docId w15:val="{F86B7ABF-5DFB-4D5A-AAED-EDEDF64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B4"/>
    <w:pPr>
      <w:spacing w:after="0" w:line="240" w:lineRule="auto"/>
    </w:pPr>
    <w:rPr>
      <w:rFonts w:ascii="Times New Roman" w:eastAsia="Times New Roman" w:hAnsi="Times New Roman" w:cs="Times New Roman"/>
      <w:sz w:val="24"/>
      <w:szCs w:val="24"/>
      <w:lang w:val="sk-SK"/>
    </w:rPr>
  </w:style>
  <w:style w:type="paragraph" w:styleId="Heading1">
    <w:name w:val="heading 1"/>
    <w:basedOn w:val="Header"/>
    <w:next w:val="Normal"/>
    <w:link w:val="Heading1Char"/>
    <w:qFormat/>
    <w:rsid w:val="00BC0633"/>
    <w:pPr>
      <w:numPr>
        <w:numId w:val="1"/>
      </w:numPr>
      <w:tabs>
        <w:tab w:val="clear" w:pos="4536"/>
        <w:tab w:val="clear" w:pos="9072"/>
      </w:tabs>
      <w:spacing w:before="120" w:after="120"/>
      <w:outlineLvl w:val="0"/>
    </w:pPr>
    <w:rPr>
      <w:rFonts w:ascii="Futura" w:hAnsi="Futura" w:cs="Arial"/>
      <w:b/>
      <w:bCs/>
      <w:sz w:val="22"/>
      <w:lang w:val="en-US"/>
    </w:rPr>
  </w:style>
  <w:style w:type="paragraph" w:styleId="Heading2">
    <w:name w:val="heading 2"/>
    <w:basedOn w:val="Heading1"/>
    <w:next w:val="Normal"/>
    <w:link w:val="Heading2Char"/>
    <w:qFormat/>
    <w:rsid w:val="00BC0633"/>
    <w:pPr>
      <w:numPr>
        <w:ilvl w:val="1"/>
      </w:numPr>
      <w:tabs>
        <w:tab w:val="num" w:pos="858"/>
      </w:tabs>
      <w:spacing w:before="240"/>
      <w:ind w:left="1296"/>
      <w:outlineLvl w:val="1"/>
    </w:pPr>
    <w:rPr>
      <w:szCs w:val="19"/>
    </w:rPr>
  </w:style>
  <w:style w:type="paragraph" w:styleId="Heading3">
    <w:name w:val="heading 3"/>
    <w:basedOn w:val="Normal"/>
    <w:next w:val="Normal"/>
    <w:link w:val="Heading3Char"/>
    <w:qFormat/>
    <w:rsid w:val="003E26D8"/>
    <w:pPr>
      <w:keepNext/>
      <w:numPr>
        <w:ilvl w:val="2"/>
        <w:numId w:val="1"/>
      </w:numPr>
      <w:jc w:val="both"/>
      <w:outlineLvl w:val="2"/>
    </w:pPr>
    <w:rPr>
      <w:rFonts w:ascii="Futura" w:hAnsi="Futura"/>
      <w:b/>
      <w:bCs/>
      <w:i/>
      <w:iCs/>
      <w:sz w:val="22"/>
      <w:lang w:val="en-US"/>
    </w:rPr>
  </w:style>
  <w:style w:type="paragraph" w:styleId="Heading4">
    <w:name w:val="heading 4"/>
    <w:basedOn w:val="Normal"/>
    <w:next w:val="Normal"/>
    <w:link w:val="Heading4Char"/>
    <w:qFormat/>
    <w:rsid w:val="003E26D8"/>
    <w:pPr>
      <w:keepNext/>
      <w:numPr>
        <w:ilvl w:val="3"/>
        <w:numId w:val="1"/>
      </w:numPr>
      <w:outlineLvl w:val="3"/>
    </w:pPr>
    <w:rPr>
      <w:rFonts w:ascii="Arial" w:hAnsi="Arial" w:cs="Arial"/>
      <w:b/>
      <w:bCs/>
      <w:sz w:val="20"/>
      <w:szCs w:val="20"/>
    </w:rPr>
  </w:style>
  <w:style w:type="paragraph" w:styleId="Heading5">
    <w:name w:val="heading 5"/>
    <w:basedOn w:val="Normal"/>
    <w:next w:val="Normal"/>
    <w:link w:val="Heading5Char"/>
    <w:qFormat/>
    <w:rsid w:val="003E26D8"/>
    <w:pPr>
      <w:keepNext/>
      <w:numPr>
        <w:ilvl w:val="4"/>
        <w:numId w:val="1"/>
      </w:numPr>
      <w:jc w:val="both"/>
      <w:outlineLvl w:val="4"/>
    </w:pPr>
    <w:rPr>
      <w:b/>
      <w:color w:val="000000"/>
    </w:rPr>
  </w:style>
  <w:style w:type="paragraph" w:styleId="Heading6">
    <w:name w:val="heading 6"/>
    <w:basedOn w:val="Normal"/>
    <w:next w:val="Normal"/>
    <w:link w:val="Heading6Char"/>
    <w:qFormat/>
    <w:rsid w:val="003E26D8"/>
    <w:pPr>
      <w:keepNext/>
      <w:numPr>
        <w:ilvl w:val="5"/>
        <w:numId w:val="1"/>
      </w:numPr>
      <w:jc w:val="both"/>
      <w:outlineLvl w:val="5"/>
    </w:pPr>
    <w:rPr>
      <w:b/>
      <w:i/>
      <w:iCs/>
      <w:color w:val="000000"/>
    </w:rPr>
  </w:style>
  <w:style w:type="paragraph" w:styleId="Heading7">
    <w:name w:val="heading 7"/>
    <w:basedOn w:val="Normal"/>
    <w:next w:val="Normal"/>
    <w:link w:val="Heading7Char"/>
    <w:qFormat/>
    <w:rsid w:val="003E26D8"/>
    <w:pPr>
      <w:keepNext/>
      <w:numPr>
        <w:ilvl w:val="6"/>
        <w:numId w:val="1"/>
      </w:numPr>
      <w:outlineLvl w:val="6"/>
    </w:pPr>
    <w:rPr>
      <w:b/>
      <w:bCs/>
      <w:color w:val="000000"/>
    </w:rPr>
  </w:style>
  <w:style w:type="paragraph" w:styleId="Heading8">
    <w:name w:val="heading 8"/>
    <w:basedOn w:val="Normal"/>
    <w:next w:val="Normal"/>
    <w:link w:val="Heading8Char"/>
    <w:qFormat/>
    <w:rsid w:val="003E26D8"/>
    <w:pPr>
      <w:keepNext/>
      <w:numPr>
        <w:ilvl w:val="7"/>
        <w:numId w:val="1"/>
      </w:numPr>
      <w:jc w:val="center"/>
      <w:outlineLvl w:val="7"/>
    </w:pPr>
    <w:rPr>
      <w:b/>
      <w:bCs/>
      <w:lang w:val="en-US"/>
    </w:rPr>
  </w:style>
  <w:style w:type="paragraph" w:styleId="Heading9">
    <w:name w:val="heading 9"/>
    <w:basedOn w:val="Normal"/>
    <w:next w:val="Normal"/>
    <w:link w:val="Heading9Char"/>
    <w:qFormat/>
    <w:rsid w:val="003E26D8"/>
    <w:pPr>
      <w:keepNext/>
      <w:numPr>
        <w:ilvl w:val="8"/>
        <w:numId w:val="1"/>
      </w:numPr>
      <w:jc w:val="both"/>
      <w:outlineLvl w:val="8"/>
    </w:pPr>
    <w:rPr>
      <w:i/>
      <w:i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3FB4"/>
    <w:pPr>
      <w:spacing w:after="200" w:line="276" w:lineRule="auto"/>
      <w:ind w:left="720"/>
      <w:contextualSpacing/>
    </w:pPr>
    <w:rPr>
      <w:rFonts w:ascii="Calibri" w:eastAsia="Calibri" w:hAnsi="Calibri"/>
      <w:sz w:val="22"/>
      <w:szCs w:val="22"/>
      <w:lang w:val="cs-CZ"/>
    </w:rPr>
  </w:style>
  <w:style w:type="paragraph" w:styleId="BalloonText">
    <w:name w:val="Balloon Text"/>
    <w:basedOn w:val="Normal"/>
    <w:link w:val="BalloonTextChar"/>
    <w:uiPriority w:val="99"/>
    <w:semiHidden/>
    <w:unhideWhenUsed/>
    <w:rsid w:val="00825559"/>
    <w:rPr>
      <w:rFonts w:ascii="Tahoma" w:hAnsi="Tahoma" w:cs="Tahoma"/>
      <w:sz w:val="16"/>
      <w:szCs w:val="16"/>
    </w:rPr>
  </w:style>
  <w:style w:type="character" w:customStyle="1" w:styleId="BalloonTextChar">
    <w:name w:val="Balloon Text Char"/>
    <w:basedOn w:val="DefaultParagraphFont"/>
    <w:link w:val="BalloonText"/>
    <w:uiPriority w:val="99"/>
    <w:semiHidden/>
    <w:rsid w:val="00825559"/>
    <w:rPr>
      <w:rFonts w:ascii="Tahoma" w:eastAsia="Times New Roman" w:hAnsi="Tahoma" w:cs="Tahoma"/>
      <w:sz w:val="16"/>
      <w:szCs w:val="16"/>
      <w:lang w:val="sk-SK"/>
    </w:rPr>
  </w:style>
  <w:style w:type="character" w:customStyle="1" w:styleId="Heading1Char">
    <w:name w:val="Heading 1 Char"/>
    <w:basedOn w:val="DefaultParagraphFont"/>
    <w:link w:val="Heading1"/>
    <w:rsid w:val="00BC0633"/>
    <w:rPr>
      <w:rFonts w:ascii="Futura" w:eastAsia="Times New Roman" w:hAnsi="Futura" w:cs="Arial"/>
      <w:b/>
      <w:bCs/>
      <w:szCs w:val="24"/>
      <w:lang w:val="en-US"/>
    </w:rPr>
  </w:style>
  <w:style w:type="character" w:customStyle="1" w:styleId="Heading2Char">
    <w:name w:val="Heading 2 Char"/>
    <w:basedOn w:val="DefaultParagraphFont"/>
    <w:link w:val="Heading2"/>
    <w:rsid w:val="00BC0633"/>
    <w:rPr>
      <w:rFonts w:ascii="Futura" w:eastAsia="Times New Roman" w:hAnsi="Futura" w:cs="Arial"/>
      <w:b/>
      <w:bCs/>
      <w:szCs w:val="19"/>
      <w:lang w:val="en-US"/>
    </w:rPr>
  </w:style>
  <w:style w:type="character" w:customStyle="1" w:styleId="Heading3Char">
    <w:name w:val="Heading 3 Char"/>
    <w:basedOn w:val="DefaultParagraphFont"/>
    <w:link w:val="Heading3"/>
    <w:rsid w:val="003E26D8"/>
    <w:rPr>
      <w:rFonts w:ascii="Futura" w:eastAsia="Times New Roman" w:hAnsi="Futura" w:cs="Times New Roman"/>
      <w:b/>
      <w:bCs/>
      <w:i/>
      <w:iCs/>
      <w:szCs w:val="24"/>
      <w:lang w:val="en-US"/>
    </w:rPr>
  </w:style>
  <w:style w:type="character" w:customStyle="1" w:styleId="Heading4Char">
    <w:name w:val="Heading 4 Char"/>
    <w:basedOn w:val="DefaultParagraphFont"/>
    <w:link w:val="Heading4"/>
    <w:rsid w:val="003E26D8"/>
    <w:rPr>
      <w:rFonts w:ascii="Arial" w:eastAsia="Times New Roman" w:hAnsi="Arial" w:cs="Arial"/>
      <w:b/>
      <w:bCs/>
      <w:sz w:val="20"/>
      <w:szCs w:val="20"/>
      <w:lang w:val="sk-SK"/>
    </w:rPr>
  </w:style>
  <w:style w:type="character" w:customStyle="1" w:styleId="Heading5Char">
    <w:name w:val="Heading 5 Char"/>
    <w:basedOn w:val="DefaultParagraphFont"/>
    <w:link w:val="Heading5"/>
    <w:rsid w:val="003E26D8"/>
    <w:rPr>
      <w:rFonts w:ascii="Times New Roman" w:eastAsia="Times New Roman" w:hAnsi="Times New Roman" w:cs="Times New Roman"/>
      <w:b/>
      <w:color w:val="000000"/>
      <w:sz w:val="24"/>
      <w:szCs w:val="24"/>
      <w:lang w:val="sk-SK"/>
    </w:rPr>
  </w:style>
  <w:style w:type="character" w:customStyle="1" w:styleId="Heading6Char">
    <w:name w:val="Heading 6 Char"/>
    <w:basedOn w:val="DefaultParagraphFont"/>
    <w:link w:val="Heading6"/>
    <w:rsid w:val="003E26D8"/>
    <w:rPr>
      <w:rFonts w:ascii="Times New Roman" w:eastAsia="Times New Roman" w:hAnsi="Times New Roman" w:cs="Times New Roman"/>
      <w:b/>
      <w:i/>
      <w:iCs/>
      <w:color w:val="000000"/>
      <w:sz w:val="24"/>
      <w:szCs w:val="24"/>
      <w:lang w:val="sk-SK"/>
    </w:rPr>
  </w:style>
  <w:style w:type="character" w:customStyle="1" w:styleId="Heading7Char">
    <w:name w:val="Heading 7 Char"/>
    <w:basedOn w:val="DefaultParagraphFont"/>
    <w:link w:val="Heading7"/>
    <w:rsid w:val="003E26D8"/>
    <w:rPr>
      <w:rFonts w:ascii="Times New Roman" w:eastAsia="Times New Roman" w:hAnsi="Times New Roman" w:cs="Times New Roman"/>
      <w:b/>
      <w:bCs/>
      <w:color w:val="000000"/>
      <w:sz w:val="24"/>
      <w:szCs w:val="24"/>
      <w:lang w:val="sk-SK"/>
    </w:rPr>
  </w:style>
  <w:style w:type="character" w:customStyle="1" w:styleId="Heading8Char">
    <w:name w:val="Heading 8 Char"/>
    <w:basedOn w:val="DefaultParagraphFont"/>
    <w:link w:val="Heading8"/>
    <w:rsid w:val="003E26D8"/>
    <w:rPr>
      <w:rFonts w:ascii="Times New Roman" w:eastAsia="Times New Roman" w:hAnsi="Times New Roman" w:cs="Times New Roman"/>
      <w:b/>
      <w:bCs/>
      <w:sz w:val="24"/>
      <w:szCs w:val="24"/>
      <w:lang w:val="en-US"/>
    </w:rPr>
  </w:style>
  <w:style w:type="character" w:customStyle="1" w:styleId="Heading9Char">
    <w:name w:val="Heading 9 Char"/>
    <w:basedOn w:val="DefaultParagraphFont"/>
    <w:link w:val="Heading9"/>
    <w:rsid w:val="003E26D8"/>
    <w:rPr>
      <w:rFonts w:ascii="Times New Roman" w:eastAsia="Times New Roman" w:hAnsi="Times New Roman" w:cs="Times New Roman"/>
      <w:i/>
      <w:iCs/>
      <w:sz w:val="20"/>
      <w:szCs w:val="20"/>
      <w:u w:val="single"/>
      <w:lang w:val="sk-SK"/>
    </w:rPr>
  </w:style>
  <w:style w:type="paragraph" w:styleId="Header">
    <w:name w:val="header"/>
    <w:basedOn w:val="Normal"/>
    <w:link w:val="HeaderChar"/>
    <w:unhideWhenUsed/>
    <w:rsid w:val="003E26D8"/>
    <w:pPr>
      <w:tabs>
        <w:tab w:val="center" w:pos="4536"/>
        <w:tab w:val="right" w:pos="9072"/>
      </w:tabs>
    </w:pPr>
  </w:style>
  <w:style w:type="character" w:customStyle="1" w:styleId="HeaderChar">
    <w:name w:val="Header Char"/>
    <w:basedOn w:val="DefaultParagraphFont"/>
    <w:link w:val="Header"/>
    <w:rsid w:val="003E26D8"/>
    <w:rPr>
      <w:rFonts w:ascii="Times New Roman" w:eastAsia="Times New Roman" w:hAnsi="Times New Roman" w:cs="Times New Roman"/>
      <w:sz w:val="24"/>
      <w:szCs w:val="24"/>
      <w:lang w:val="sk-SK"/>
    </w:rPr>
  </w:style>
  <w:style w:type="paragraph" w:styleId="Footer">
    <w:name w:val="footer"/>
    <w:basedOn w:val="Normal"/>
    <w:link w:val="FooterChar"/>
    <w:uiPriority w:val="99"/>
    <w:unhideWhenUsed/>
    <w:rsid w:val="00EE2C13"/>
    <w:pPr>
      <w:tabs>
        <w:tab w:val="center" w:pos="4536"/>
        <w:tab w:val="right" w:pos="9072"/>
      </w:tabs>
    </w:pPr>
  </w:style>
  <w:style w:type="character" w:customStyle="1" w:styleId="FooterChar">
    <w:name w:val="Footer Char"/>
    <w:basedOn w:val="DefaultParagraphFont"/>
    <w:link w:val="Footer"/>
    <w:uiPriority w:val="99"/>
    <w:rsid w:val="00EE2C13"/>
    <w:rPr>
      <w:rFonts w:ascii="Times New Roman" w:eastAsia="Times New Roman" w:hAnsi="Times New Roman" w:cs="Times New Roman"/>
      <w:sz w:val="24"/>
      <w:szCs w:val="24"/>
      <w:lang w:val="sk-SK"/>
    </w:rPr>
  </w:style>
  <w:style w:type="paragraph" w:styleId="NoSpacing">
    <w:name w:val="No Spacing"/>
    <w:link w:val="NoSpacingChar"/>
    <w:uiPriority w:val="1"/>
    <w:qFormat/>
    <w:rsid w:val="004565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5655B"/>
    <w:rPr>
      <w:rFonts w:eastAsiaTheme="minorEastAsia"/>
      <w:lang w:val="en-US" w:eastAsia="ja-JP"/>
    </w:rPr>
  </w:style>
  <w:style w:type="paragraph" w:styleId="TOCHeading">
    <w:name w:val="TOC Heading"/>
    <w:basedOn w:val="Heading1"/>
    <w:next w:val="Normal"/>
    <w:uiPriority w:val="39"/>
    <w:semiHidden/>
    <w:unhideWhenUsed/>
    <w:qFormat/>
    <w:rsid w:val="0045655B"/>
    <w:pPr>
      <w:keepNext/>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45655B"/>
    <w:pPr>
      <w:spacing w:after="100"/>
    </w:pPr>
  </w:style>
  <w:style w:type="paragraph" w:styleId="TOC2">
    <w:name w:val="toc 2"/>
    <w:basedOn w:val="Normal"/>
    <w:next w:val="Normal"/>
    <w:autoRedefine/>
    <w:uiPriority w:val="39"/>
    <w:unhideWhenUsed/>
    <w:rsid w:val="0045655B"/>
    <w:pPr>
      <w:spacing w:after="100"/>
      <w:ind w:left="240"/>
    </w:pPr>
  </w:style>
  <w:style w:type="character" w:styleId="Hyperlink">
    <w:name w:val="Hyperlink"/>
    <w:basedOn w:val="DefaultParagraphFont"/>
    <w:uiPriority w:val="99"/>
    <w:unhideWhenUsed/>
    <w:rsid w:val="0045655B"/>
    <w:rPr>
      <w:color w:val="0000FF" w:themeColor="hyperlink"/>
      <w:u w:val="single"/>
    </w:rPr>
  </w:style>
  <w:style w:type="paragraph" w:styleId="TOC3">
    <w:name w:val="toc 3"/>
    <w:basedOn w:val="Normal"/>
    <w:next w:val="Normal"/>
    <w:autoRedefine/>
    <w:uiPriority w:val="39"/>
    <w:unhideWhenUsed/>
    <w:rsid w:val="00D362B0"/>
    <w:pPr>
      <w:spacing w:after="100"/>
      <w:ind w:left="480"/>
    </w:pPr>
  </w:style>
  <w:style w:type="table" w:styleId="TableGrid">
    <w:name w:val="Table Grid"/>
    <w:basedOn w:val="TableNormal"/>
    <w:uiPriority w:val="59"/>
    <w:rsid w:val="00CD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B3E4A"/>
    <w:pPr>
      <w:tabs>
        <w:tab w:val="left" w:pos="1980"/>
      </w:tabs>
    </w:pPr>
    <w:rPr>
      <w:rFonts w:ascii="Futura" w:hAnsi="Futura"/>
      <w:sz w:val="22"/>
      <w:szCs w:val="20"/>
    </w:rPr>
  </w:style>
  <w:style w:type="character" w:customStyle="1" w:styleId="BodyTextChar">
    <w:name w:val="Body Text Char"/>
    <w:basedOn w:val="DefaultParagraphFont"/>
    <w:link w:val="BodyText"/>
    <w:rsid w:val="004B3E4A"/>
    <w:rPr>
      <w:rFonts w:ascii="Futura" w:eastAsia="Times New Roman" w:hAnsi="Futura" w:cs="Times New Roman"/>
      <w:szCs w:val="20"/>
      <w:lang w:val="sk-SK"/>
    </w:rPr>
  </w:style>
  <w:style w:type="paragraph" w:customStyle="1" w:styleId="TEXT">
    <w:name w:val="TEXT"/>
    <w:link w:val="TEXTChar"/>
    <w:uiPriority w:val="99"/>
    <w:rsid w:val="001851B8"/>
    <w:pPr>
      <w:spacing w:after="0" w:line="240" w:lineRule="auto"/>
    </w:pPr>
    <w:rPr>
      <w:rFonts w:ascii="FuturaTEE" w:eastAsia="Times New Roman" w:hAnsi="FuturaTEE" w:cs="Courier New"/>
      <w:lang w:eastAsia="cs-CZ"/>
    </w:rPr>
  </w:style>
  <w:style w:type="character" w:customStyle="1" w:styleId="TEXTb">
    <w:name w:val="TEXT_b"/>
    <w:uiPriority w:val="99"/>
    <w:rsid w:val="003266DA"/>
    <w:rPr>
      <w:rFonts w:ascii="FuturaTEE" w:hAnsi="FuturaTEE"/>
      <w:b/>
      <w:sz w:val="22"/>
    </w:rPr>
  </w:style>
  <w:style w:type="paragraph" w:customStyle="1" w:styleId="TEXTODR">
    <w:name w:val="TEXT_ODR"/>
    <w:basedOn w:val="TEXT"/>
    <w:uiPriority w:val="99"/>
    <w:rsid w:val="00846FD0"/>
    <w:pPr>
      <w:numPr>
        <w:numId w:val="2"/>
      </w:numPr>
    </w:pPr>
    <w:rPr>
      <w:rFonts w:cs="Times New Roman"/>
    </w:rPr>
  </w:style>
  <w:style w:type="character" w:customStyle="1" w:styleId="TEXTu">
    <w:name w:val="TEXT_u"/>
    <w:uiPriority w:val="99"/>
    <w:rsid w:val="004C4C16"/>
    <w:rPr>
      <w:rFonts w:ascii="FuturaTEE" w:hAnsi="FuturaTEE"/>
      <w:sz w:val="22"/>
      <w:u w:val="single"/>
    </w:rPr>
  </w:style>
  <w:style w:type="character" w:styleId="CommentReference">
    <w:name w:val="annotation reference"/>
    <w:basedOn w:val="DefaultParagraphFont"/>
    <w:uiPriority w:val="99"/>
    <w:semiHidden/>
    <w:unhideWhenUsed/>
    <w:rsid w:val="00B55990"/>
    <w:rPr>
      <w:sz w:val="16"/>
      <w:szCs w:val="16"/>
    </w:rPr>
  </w:style>
  <w:style w:type="paragraph" w:styleId="CommentText">
    <w:name w:val="annotation text"/>
    <w:basedOn w:val="Normal"/>
    <w:link w:val="CommentTextChar"/>
    <w:uiPriority w:val="99"/>
    <w:semiHidden/>
    <w:unhideWhenUsed/>
    <w:rsid w:val="00B55990"/>
    <w:rPr>
      <w:sz w:val="20"/>
      <w:szCs w:val="20"/>
    </w:rPr>
  </w:style>
  <w:style w:type="character" w:customStyle="1" w:styleId="CommentTextChar">
    <w:name w:val="Comment Text Char"/>
    <w:basedOn w:val="DefaultParagraphFont"/>
    <w:link w:val="CommentText"/>
    <w:uiPriority w:val="99"/>
    <w:semiHidden/>
    <w:rsid w:val="00B55990"/>
    <w:rPr>
      <w:rFonts w:ascii="Times New Roman" w:eastAsia="Times New Roman" w:hAnsi="Times New Roman" w:cs="Times New Roman"/>
      <w:sz w:val="20"/>
      <w:szCs w:val="20"/>
      <w:lang w:val="sk-SK"/>
    </w:rPr>
  </w:style>
  <w:style w:type="paragraph" w:styleId="CommentSubject">
    <w:name w:val="annotation subject"/>
    <w:basedOn w:val="CommentText"/>
    <w:next w:val="CommentText"/>
    <w:link w:val="CommentSubjectChar"/>
    <w:uiPriority w:val="99"/>
    <w:semiHidden/>
    <w:unhideWhenUsed/>
    <w:rsid w:val="00B55990"/>
    <w:rPr>
      <w:b/>
      <w:bCs/>
    </w:rPr>
  </w:style>
  <w:style w:type="character" w:customStyle="1" w:styleId="CommentSubjectChar">
    <w:name w:val="Comment Subject Char"/>
    <w:basedOn w:val="CommentTextChar"/>
    <w:link w:val="CommentSubject"/>
    <w:uiPriority w:val="99"/>
    <w:semiHidden/>
    <w:rsid w:val="00B55990"/>
    <w:rPr>
      <w:rFonts w:ascii="Times New Roman" w:eastAsia="Times New Roman" w:hAnsi="Times New Roman" w:cs="Times New Roman"/>
      <w:b/>
      <w:bCs/>
      <w:sz w:val="20"/>
      <w:szCs w:val="20"/>
      <w:lang w:val="sk-SK"/>
    </w:rPr>
  </w:style>
  <w:style w:type="paragraph" w:styleId="ListNumber">
    <w:name w:val="List Number"/>
    <w:basedOn w:val="Normal"/>
    <w:rsid w:val="00BA2335"/>
    <w:pPr>
      <w:numPr>
        <w:numId w:val="5"/>
      </w:numPr>
    </w:pPr>
    <w:rPr>
      <w:sz w:val="20"/>
      <w:szCs w:val="20"/>
      <w:lang w:val="en-US"/>
    </w:rPr>
  </w:style>
  <w:style w:type="paragraph" w:customStyle="1" w:styleId="NADPIS3">
    <w:name w:val="NADPIS3"/>
    <w:basedOn w:val="Normal"/>
    <w:next w:val="TEXT"/>
    <w:uiPriority w:val="99"/>
    <w:rsid w:val="00BA2335"/>
    <w:pPr>
      <w:spacing w:before="420" w:after="60"/>
    </w:pPr>
    <w:rPr>
      <w:rFonts w:ascii="FuturaTEE" w:hAnsi="FuturaTEE" w:cs="Courier New"/>
      <w:b/>
      <w:sz w:val="22"/>
      <w:szCs w:val="22"/>
      <w:u w:val="single"/>
      <w:lang w:val="en-US" w:eastAsia="cs-CZ"/>
    </w:rPr>
  </w:style>
  <w:style w:type="paragraph" w:customStyle="1" w:styleId="NADPIS1">
    <w:name w:val="NADPIS1"/>
    <w:basedOn w:val="TEXT"/>
    <w:next w:val="TEXT"/>
    <w:uiPriority w:val="99"/>
    <w:rsid w:val="00841497"/>
    <w:pPr>
      <w:numPr>
        <w:numId w:val="6"/>
      </w:numPr>
      <w:spacing w:before="480"/>
      <w:ind w:left="357" w:hanging="357"/>
    </w:pPr>
    <w:rPr>
      <w:b/>
    </w:rPr>
  </w:style>
  <w:style w:type="paragraph" w:customStyle="1" w:styleId="NADPIS2">
    <w:name w:val="NADPIS2"/>
    <w:basedOn w:val="NADPIS1"/>
    <w:next w:val="TEXT"/>
    <w:uiPriority w:val="99"/>
    <w:rsid w:val="00841497"/>
    <w:pPr>
      <w:numPr>
        <w:ilvl w:val="1"/>
      </w:numPr>
      <w:spacing w:before="420" w:after="60"/>
      <w:ind w:left="601" w:hanging="431"/>
    </w:pPr>
    <w:rPr>
      <w:lang w:val="en-US"/>
    </w:rPr>
  </w:style>
  <w:style w:type="paragraph" w:customStyle="1" w:styleId="ZNAKA">
    <w:name w:val="ZNAČKA"/>
    <w:basedOn w:val="TEXT"/>
    <w:uiPriority w:val="99"/>
    <w:semiHidden/>
    <w:rsid w:val="00FF151D"/>
    <w:rPr>
      <w:b/>
      <w:color w:val="FF0000"/>
      <w:sz w:val="16"/>
    </w:rPr>
  </w:style>
  <w:style w:type="character" w:styleId="PlaceholderText">
    <w:name w:val="Placeholder Text"/>
    <w:basedOn w:val="DefaultParagraphFont"/>
    <w:uiPriority w:val="99"/>
    <w:semiHidden/>
    <w:rsid w:val="00FD2275"/>
    <w:rPr>
      <w:color w:val="808080"/>
    </w:rPr>
  </w:style>
  <w:style w:type="paragraph" w:styleId="List">
    <w:name w:val="List"/>
    <w:basedOn w:val="Normal"/>
    <w:uiPriority w:val="99"/>
    <w:semiHidden/>
    <w:unhideWhenUsed/>
    <w:rsid w:val="00DE432E"/>
    <w:pPr>
      <w:ind w:left="283" w:hanging="283"/>
      <w:contextualSpacing/>
    </w:pPr>
  </w:style>
  <w:style w:type="character" w:styleId="FollowedHyperlink">
    <w:name w:val="FollowedHyperlink"/>
    <w:basedOn w:val="DefaultParagraphFont"/>
    <w:uiPriority w:val="99"/>
    <w:semiHidden/>
    <w:unhideWhenUsed/>
    <w:rsid w:val="00DE432E"/>
    <w:rPr>
      <w:color w:val="800080" w:themeColor="followedHyperlink"/>
      <w:u w:val="single"/>
    </w:rPr>
  </w:style>
  <w:style w:type="character" w:customStyle="1" w:styleId="TEXTChar">
    <w:name w:val="TEXT Char"/>
    <w:link w:val="TEXT"/>
    <w:uiPriority w:val="99"/>
    <w:rsid w:val="0055209E"/>
    <w:rPr>
      <w:rFonts w:ascii="FuturaTEE" w:eastAsia="Times New Roman" w:hAnsi="FuturaTEE" w:cs="Courier New"/>
      <w:lang w:eastAsia="cs-CZ"/>
    </w:rPr>
  </w:style>
  <w:style w:type="paragraph" w:customStyle="1" w:styleId="TEXT8">
    <w:name w:val="TEXT8"/>
    <w:basedOn w:val="TEXT"/>
    <w:uiPriority w:val="99"/>
    <w:rsid w:val="00EB6193"/>
    <w:rPr>
      <w:sz w:val="16"/>
    </w:rPr>
  </w:style>
  <w:style w:type="paragraph" w:customStyle="1" w:styleId="TEXT8b">
    <w:name w:val="TEXT8_b"/>
    <w:basedOn w:val="TEXT8"/>
    <w:uiPriority w:val="99"/>
    <w:rsid w:val="00EB6193"/>
    <w:rPr>
      <w:b/>
    </w:rPr>
  </w:style>
  <w:style w:type="paragraph" w:styleId="Caption">
    <w:name w:val="caption"/>
    <w:basedOn w:val="Normal"/>
    <w:next w:val="Normal"/>
    <w:unhideWhenUsed/>
    <w:qFormat/>
    <w:rsid w:val="00C409FB"/>
    <w:pPr>
      <w:spacing w:after="200"/>
    </w:pPr>
    <w:rPr>
      <w:b/>
      <w:bCs/>
      <w:color w:val="4F81BD" w:themeColor="accent1"/>
      <w:sz w:val="18"/>
      <w:szCs w:val="18"/>
    </w:rPr>
  </w:style>
  <w:style w:type="character" w:styleId="UnresolvedMention">
    <w:name w:val="Unresolved Mention"/>
    <w:basedOn w:val="DefaultParagraphFont"/>
    <w:uiPriority w:val="99"/>
    <w:semiHidden/>
    <w:unhideWhenUsed/>
    <w:rsid w:val="00022C67"/>
    <w:rPr>
      <w:color w:val="605E5C"/>
      <w:shd w:val="clear" w:color="auto" w:fill="E1DFDD"/>
    </w:rPr>
  </w:style>
  <w:style w:type="paragraph" w:styleId="EndnoteText">
    <w:name w:val="endnote text"/>
    <w:basedOn w:val="Normal"/>
    <w:link w:val="EndnoteTextChar"/>
    <w:uiPriority w:val="99"/>
    <w:semiHidden/>
    <w:unhideWhenUsed/>
    <w:rsid w:val="006B55D0"/>
    <w:rPr>
      <w:sz w:val="20"/>
      <w:szCs w:val="20"/>
    </w:rPr>
  </w:style>
  <w:style w:type="character" w:customStyle="1" w:styleId="EndnoteTextChar">
    <w:name w:val="Endnote Text Char"/>
    <w:basedOn w:val="DefaultParagraphFont"/>
    <w:link w:val="EndnoteText"/>
    <w:uiPriority w:val="99"/>
    <w:semiHidden/>
    <w:rsid w:val="006B55D0"/>
    <w:rPr>
      <w:rFonts w:ascii="Times New Roman" w:eastAsia="Times New Roman" w:hAnsi="Times New Roman" w:cs="Times New Roman"/>
      <w:sz w:val="20"/>
      <w:szCs w:val="20"/>
      <w:lang w:val="sk-SK"/>
    </w:rPr>
  </w:style>
  <w:style w:type="character" w:styleId="EndnoteReference">
    <w:name w:val="endnote reference"/>
    <w:basedOn w:val="DefaultParagraphFont"/>
    <w:uiPriority w:val="99"/>
    <w:semiHidden/>
    <w:unhideWhenUsed/>
    <w:rsid w:val="006B55D0"/>
    <w:rPr>
      <w:vertAlign w:val="superscript"/>
    </w:rPr>
  </w:style>
  <w:style w:type="paragraph" w:styleId="FootnoteText">
    <w:name w:val="footnote text"/>
    <w:basedOn w:val="Normal"/>
    <w:link w:val="FootnoteTextChar"/>
    <w:uiPriority w:val="99"/>
    <w:semiHidden/>
    <w:unhideWhenUsed/>
    <w:rsid w:val="006B55D0"/>
    <w:rPr>
      <w:sz w:val="20"/>
      <w:szCs w:val="20"/>
    </w:rPr>
  </w:style>
  <w:style w:type="character" w:customStyle="1" w:styleId="FootnoteTextChar">
    <w:name w:val="Footnote Text Char"/>
    <w:basedOn w:val="DefaultParagraphFont"/>
    <w:link w:val="FootnoteText"/>
    <w:uiPriority w:val="99"/>
    <w:semiHidden/>
    <w:rsid w:val="006B55D0"/>
    <w:rPr>
      <w:rFonts w:ascii="Times New Roman" w:eastAsia="Times New Roman" w:hAnsi="Times New Roman" w:cs="Times New Roman"/>
      <w:sz w:val="20"/>
      <w:szCs w:val="20"/>
      <w:lang w:val="sk-SK"/>
    </w:rPr>
  </w:style>
  <w:style w:type="character" w:styleId="FootnoteReference">
    <w:name w:val="footnote reference"/>
    <w:basedOn w:val="DefaultParagraphFont"/>
    <w:uiPriority w:val="99"/>
    <w:semiHidden/>
    <w:unhideWhenUsed/>
    <w:rsid w:val="006B55D0"/>
    <w:rPr>
      <w:vertAlign w:val="superscript"/>
    </w:rPr>
  </w:style>
  <w:style w:type="character" w:customStyle="1" w:styleId="ListParagraphChar">
    <w:name w:val="List Paragraph Char"/>
    <w:link w:val="ListParagraph"/>
    <w:uiPriority w:val="34"/>
    <w:rsid w:val="001117FC"/>
    <w:rPr>
      <w:rFonts w:ascii="Calibri" w:eastAsia="Calibri" w:hAnsi="Calibri" w:cs="Times New Roman"/>
    </w:rPr>
  </w:style>
  <w:style w:type="character" w:customStyle="1" w:styleId="y2iqfc">
    <w:name w:val="y2iqfc"/>
    <w:basedOn w:val="DefaultParagraphFont"/>
    <w:rsid w:val="001117FC"/>
  </w:style>
  <w:style w:type="paragraph" w:styleId="HTMLPreformatted">
    <w:name w:val="HTML Preformatted"/>
    <w:basedOn w:val="Normal"/>
    <w:link w:val="HTMLPreformattedChar"/>
    <w:uiPriority w:val="99"/>
    <w:unhideWhenUsed/>
    <w:rsid w:val="0011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1117FC"/>
    <w:rPr>
      <w:rFonts w:ascii="Courier New" w:eastAsia="Times New Roman" w:hAnsi="Courier New" w:cs="Courier New"/>
      <w:sz w:val="20"/>
      <w:szCs w:val="20"/>
      <w:lang w:val="en-US"/>
    </w:rPr>
  </w:style>
  <w:style w:type="character" w:styleId="Strong">
    <w:name w:val="Strong"/>
    <w:basedOn w:val="DefaultParagraphFont"/>
    <w:uiPriority w:val="22"/>
    <w:qFormat/>
    <w:rsid w:val="00243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1065">
      <w:bodyDiv w:val="1"/>
      <w:marLeft w:val="0"/>
      <w:marRight w:val="0"/>
      <w:marTop w:val="0"/>
      <w:marBottom w:val="0"/>
      <w:divBdr>
        <w:top w:val="none" w:sz="0" w:space="0" w:color="auto"/>
        <w:left w:val="none" w:sz="0" w:space="0" w:color="auto"/>
        <w:bottom w:val="none" w:sz="0" w:space="0" w:color="auto"/>
        <w:right w:val="none" w:sz="0" w:space="0" w:color="auto"/>
      </w:divBdr>
    </w:div>
    <w:div w:id="118650849">
      <w:bodyDiv w:val="1"/>
      <w:marLeft w:val="0"/>
      <w:marRight w:val="0"/>
      <w:marTop w:val="0"/>
      <w:marBottom w:val="0"/>
      <w:divBdr>
        <w:top w:val="none" w:sz="0" w:space="0" w:color="auto"/>
        <w:left w:val="none" w:sz="0" w:space="0" w:color="auto"/>
        <w:bottom w:val="none" w:sz="0" w:space="0" w:color="auto"/>
        <w:right w:val="none" w:sz="0" w:space="0" w:color="auto"/>
      </w:divBdr>
    </w:div>
    <w:div w:id="371155565">
      <w:bodyDiv w:val="1"/>
      <w:marLeft w:val="0"/>
      <w:marRight w:val="0"/>
      <w:marTop w:val="0"/>
      <w:marBottom w:val="0"/>
      <w:divBdr>
        <w:top w:val="none" w:sz="0" w:space="0" w:color="auto"/>
        <w:left w:val="none" w:sz="0" w:space="0" w:color="auto"/>
        <w:bottom w:val="none" w:sz="0" w:space="0" w:color="auto"/>
        <w:right w:val="none" w:sz="0" w:space="0" w:color="auto"/>
      </w:divBdr>
    </w:div>
    <w:div w:id="537159603">
      <w:bodyDiv w:val="1"/>
      <w:marLeft w:val="0"/>
      <w:marRight w:val="0"/>
      <w:marTop w:val="0"/>
      <w:marBottom w:val="0"/>
      <w:divBdr>
        <w:top w:val="none" w:sz="0" w:space="0" w:color="auto"/>
        <w:left w:val="none" w:sz="0" w:space="0" w:color="auto"/>
        <w:bottom w:val="none" w:sz="0" w:space="0" w:color="auto"/>
        <w:right w:val="none" w:sz="0" w:space="0" w:color="auto"/>
      </w:divBdr>
    </w:div>
    <w:div w:id="640497458">
      <w:bodyDiv w:val="1"/>
      <w:marLeft w:val="0"/>
      <w:marRight w:val="0"/>
      <w:marTop w:val="0"/>
      <w:marBottom w:val="0"/>
      <w:divBdr>
        <w:top w:val="none" w:sz="0" w:space="0" w:color="auto"/>
        <w:left w:val="none" w:sz="0" w:space="0" w:color="auto"/>
        <w:bottom w:val="none" w:sz="0" w:space="0" w:color="auto"/>
        <w:right w:val="none" w:sz="0" w:space="0" w:color="auto"/>
      </w:divBdr>
    </w:div>
    <w:div w:id="747731450">
      <w:bodyDiv w:val="1"/>
      <w:marLeft w:val="0"/>
      <w:marRight w:val="0"/>
      <w:marTop w:val="0"/>
      <w:marBottom w:val="0"/>
      <w:divBdr>
        <w:top w:val="none" w:sz="0" w:space="0" w:color="auto"/>
        <w:left w:val="none" w:sz="0" w:space="0" w:color="auto"/>
        <w:bottom w:val="none" w:sz="0" w:space="0" w:color="auto"/>
        <w:right w:val="none" w:sz="0" w:space="0" w:color="auto"/>
      </w:divBdr>
    </w:div>
    <w:div w:id="865679221">
      <w:bodyDiv w:val="1"/>
      <w:marLeft w:val="0"/>
      <w:marRight w:val="0"/>
      <w:marTop w:val="0"/>
      <w:marBottom w:val="0"/>
      <w:divBdr>
        <w:top w:val="none" w:sz="0" w:space="0" w:color="auto"/>
        <w:left w:val="none" w:sz="0" w:space="0" w:color="auto"/>
        <w:bottom w:val="none" w:sz="0" w:space="0" w:color="auto"/>
        <w:right w:val="none" w:sz="0" w:space="0" w:color="auto"/>
      </w:divBdr>
    </w:div>
    <w:div w:id="902832560">
      <w:bodyDiv w:val="1"/>
      <w:marLeft w:val="0"/>
      <w:marRight w:val="0"/>
      <w:marTop w:val="0"/>
      <w:marBottom w:val="0"/>
      <w:divBdr>
        <w:top w:val="none" w:sz="0" w:space="0" w:color="auto"/>
        <w:left w:val="none" w:sz="0" w:space="0" w:color="auto"/>
        <w:bottom w:val="none" w:sz="0" w:space="0" w:color="auto"/>
        <w:right w:val="none" w:sz="0" w:space="0" w:color="auto"/>
      </w:divBdr>
    </w:div>
    <w:div w:id="916936566">
      <w:bodyDiv w:val="1"/>
      <w:marLeft w:val="0"/>
      <w:marRight w:val="0"/>
      <w:marTop w:val="0"/>
      <w:marBottom w:val="0"/>
      <w:divBdr>
        <w:top w:val="none" w:sz="0" w:space="0" w:color="auto"/>
        <w:left w:val="none" w:sz="0" w:space="0" w:color="auto"/>
        <w:bottom w:val="none" w:sz="0" w:space="0" w:color="auto"/>
        <w:right w:val="none" w:sz="0" w:space="0" w:color="auto"/>
      </w:divBdr>
    </w:div>
    <w:div w:id="1062296016">
      <w:bodyDiv w:val="1"/>
      <w:marLeft w:val="0"/>
      <w:marRight w:val="0"/>
      <w:marTop w:val="0"/>
      <w:marBottom w:val="0"/>
      <w:divBdr>
        <w:top w:val="none" w:sz="0" w:space="0" w:color="auto"/>
        <w:left w:val="none" w:sz="0" w:space="0" w:color="auto"/>
        <w:bottom w:val="none" w:sz="0" w:space="0" w:color="auto"/>
        <w:right w:val="none" w:sz="0" w:space="0" w:color="auto"/>
      </w:divBdr>
    </w:div>
    <w:div w:id="1082726172">
      <w:bodyDiv w:val="1"/>
      <w:marLeft w:val="0"/>
      <w:marRight w:val="0"/>
      <w:marTop w:val="0"/>
      <w:marBottom w:val="0"/>
      <w:divBdr>
        <w:top w:val="none" w:sz="0" w:space="0" w:color="auto"/>
        <w:left w:val="none" w:sz="0" w:space="0" w:color="auto"/>
        <w:bottom w:val="none" w:sz="0" w:space="0" w:color="auto"/>
        <w:right w:val="none" w:sz="0" w:space="0" w:color="auto"/>
      </w:divBdr>
    </w:div>
    <w:div w:id="1213807606">
      <w:bodyDiv w:val="1"/>
      <w:marLeft w:val="0"/>
      <w:marRight w:val="0"/>
      <w:marTop w:val="0"/>
      <w:marBottom w:val="0"/>
      <w:divBdr>
        <w:top w:val="none" w:sz="0" w:space="0" w:color="auto"/>
        <w:left w:val="none" w:sz="0" w:space="0" w:color="auto"/>
        <w:bottom w:val="none" w:sz="0" w:space="0" w:color="auto"/>
        <w:right w:val="none" w:sz="0" w:space="0" w:color="auto"/>
      </w:divBdr>
    </w:div>
    <w:div w:id="1307710270">
      <w:bodyDiv w:val="1"/>
      <w:marLeft w:val="0"/>
      <w:marRight w:val="0"/>
      <w:marTop w:val="0"/>
      <w:marBottom w:val="0"/>
      <w:divBdr>
        <w:top w:val="none" w:sz="0" w:space="0" w:color="auto"/>
        <w:left w:val="none" w:sz="0" w:space="0" w:color="auto"/>
        <w:bottom w:val="none" w:sz="0" w:space="0" w:color="auto"/>
        <w:right w:val="none" w:sz="0" w:space="0" w:color="auto"/>
      </w:divBdr>
    </w:div>
    <w:div w:id="1504008430">
      <w:bodyDiv w:val="1"/>
      <w:marLeft w:val="0"/>
      <w:marRight w:val="0"/>
      <w:marTop w:val="0"/>
      <w:marBottom w:val="0"/>
      <w:divBdr>
        <w:top w:val="none" w:sz="0" w:space="0" w:color="auto"/>
        <w:left w:val="none" w:sz="0" w:space="0" w:color="auto"/>
        <w:bottom w:val="none" w:sz="0" w:space="0" w:color="auto"/>
        <w:right w:val="none" w:sz="0" w:space="0" w:color="auto"/>
      </w:divBdr>
    </w:div>
    <w:div w:id="1506091533">
      <w:bodyDiv w:val="1"/>
      <w:marLeft w:val="0"/>
      <w:marRight w:val="0"/>
      <w:marTop w:val="0"/>
      <w:marBottom w:val="0"/>
      <w:divBdr>
        <w:top w:val="none" w:sz="0" w:space="0" w:color="auto"/>
        <w:left w:val="none" w:sz="0" w:space="0" w:color="auto"/>
        <w:bottom w:val="none" w:sz="0" w:space="0" w:color="auto"/>
        <w:right w:val="none" w:sz="0" w:space="0" w:color="auto"/>
      </w:divBdr>
    </w:div>
    <w:div w:id="1544901540">
      <w:bodyDiv w:val="1"/>
      <w:marLeft w:val="0"/>
      <w:marRight w:val="0"/>
      <w:marTop w:val="0"/>
      <w:marBottom w:val="0"/>
      <w:divBdr>
        <w:top w:val="none" w:sz="0" w:space="0" w:color="auto"/>
        <w:left w:val="none" w:sz="0" w:space="0" w:color="auto"/>
        <w:bottom w:val="none" w:sz="0" w:space="0" w:color="auto"/>
        <w:right w:val="none" w:sz="0" w:space="0" w:color="auto"/>
      </w:divBdr>
    </w:div>
    <w:div w:id="1629431619">
      <w:bodyDiv w:val="1"/>
      <w:marLeft w:val="0"/>
      <w:marRight w:val="0"/>
      <w:marTop w:val="0"/>
      <w:marBottom w:val="0"/>
      <w:divBdr>
        <w:top w:val="none" w:sz="0" w:space="0" w:color="auto"/>
        <w:left w:val="none" w:sz="0" w:space="0" w:color="auto"/>
        <w:bottom w:val="none" w:sz="0" w:space="0" w:color="auto"/>
        <w:right w:val="none" w:sz="0" w:space="0" w:color="auto"/>
      </w:divBdr>
    </w:div>
    <w:div w:id="1810320149">
      <w:bodyDiv w:val="1"/>
      <w:marLeft w:val="0"/>
      <w:marRight w:val="0"/>
      <w:marTop w:val="0"/>
      <w:marBottom w:val="0"/>
      <w:divBdr>
        <w:top w:val="none" w:sz="0" w:space="0" w:color="auto"/>
        <w:left w:val="none" w:sz="0" w:space="0" w:color="auto"/>
        <w:bottom w:val="none" w:sz="0" w:space="0" w:color="auto"/>
        <w:right w:val="none" w:sz="0" w:space="0" w:color="auto"/>
      </w:divBdr>
    </w:div>
    <w:div w:id="182092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55E6E-583F-407F-A4A4-9487F0D4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10</Pages>
  <Words>3894</Words>
  <Characters>22198</Characters>
  <Application>Microsoft Office Word</Application>
  <DocSecurity>0</DocSecurity>
  <Lines>184</Lines>
  <Paragraphs>52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Credit evaluation template</vt:lpstr>
      <vt:lpstr>Credit evaluation template</vt:lpstr>
    </vt:vector>
  </TitlesOfParts>
  <Company>Corporate Credit Analysis</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evaluation template</dc:title>
  <dc:creator>Lucia Matusova</dc:creator>
  <cp:lastModifiedBy>Martin Harnik</cp:lastModifiedBy>
  <cp:revision>295</cp:revision>
  <cp:lastPrinted>2019-08-29T11:56:00Z</cp:lastPrinted>
  <dcterms:created xsi:type="dcterms:W3CDTF">2021-05-12T11:16:00Z</dcterms:created>
  <dcterms:modified xsi:type="dcterms:W3CDTF">2025-01-11T10:24:00Z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6524ed-fb1a-49fd-bafe-15c5e5ffd047_Enabled">
    <vt:lpwstr>true</vt:lpwstr>
  </property>
  <property fmtid="{D5CDD505-2E9C-101B-9397-08002B2CF9AE}" pid="3" name="MSIP_Label_2a6524ed-fb1a-49fd-bafe-15c5e5ffd047_SetDate">
    <vt:lpwstr>2021-03-08T16:02:23Z</vt:lpwstr>
  </property>
  <property fmtid="{D5CDD505-2E9C-101B-9397-08002B2CF9AE}" pid="4" name="MSIP_Label_2a6524ed-fb1a-49fd-bafe-15c5e5ffd047_Method">
    <vt:lpwstr>Standard</vt:lpwstr>
  </property>
  <property fmtid="{D5CDD505-2E9C-101B-9397-08002B2CF9AE}" pid="5" name="MSIP_Label_2a6524ed-fb1a-49fd-bafe-15c5e5ffd047_Name">
    <vt:lpwstr>Internal</vt:lpwstr>
  </property>
  <property fmtid="{D5CDD505-2E9C-101B-9397-08002B2CF9AE}" pid="6" name="MSIP_Label_2a6524ed-fb1a-49fd-bafe-15c5e5ffd047_SiteId">
    <vt:lpwstr>9b511fda-f0b1-43a5-b06e-1e720f64520a</vt:lpwstr>
  </property>
  <property fmtid="{D5CDD505-2E9C-101B-9397-08002B2CF9AE}" pid="7" name="MSIP_Label_2a6524ed-fb1a-49fd-bafe-15c5e5ffd047_ActionId">
    <vt:lpwstr>7339e555-7896-468f-9c7e-1634a905d679</vt:lpwstr>
  </property>
  <property fmtid="{D5CDD505-2E9C-101B-9397-08002B2CF9AE}" pid="8" name="MSIP_Label_2a6524ed-fb1a-49fd-bafe-15c5e5ffd047_ContentBits">
    <vt:lpwstr>0</vt:lpwstr>
  </property>
</Properties>
</file>