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340000" cy="234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2340000" cy="2340000"/>
                    </a:xfrm>
                    <a:prstGeom prst="rect"/>
                  </pic:spPr>
                </pic:pic>
              </a:graphicData>
            </a:graphic>
          </wp:inline>
        </w:drawing>
      </w:r>
    </w:p>
    <w:p>
      <w:pPr>
        <w:jc w:val="center"/>
      </w:pPr>
      <w:r>
        <w:rPr>
          <w:rFonts w:ascii="Garamond" w:hAnsi="Garamond"/>
          <w:i/>
          <w:color w:val="2E7D4F"/>
          <w:sz w:val="22"/>
        </w:rPr>
        <w:t>ἐπίγνωσις  ·  Conhecer a Deus. Viver a Palavra. Manifestar o Reino.</w:t>
      </w:r>
    </w:p>
    <w:p>
      <w:pPr>
        <w:pBdr>
          <w:bottom w:val="single" w:sz="8" w:space="1" w:color="2E7D4F"/>
        </w:pBdr>
      </w:pPr>
    </w:p>
    <w:p/>
    <w:p/>
    <w:p/>
    <w:p>
      <w:pPr>
        <w:jc w:val="center"/>
      </w:pPr>
      <w:r>
        <w:rPr>
          <w:rFonts w:ascii="Garamond" w:hAnsi="Garamond"/>
          <w:b/>
          <w:color w:val="2E7D4F"/>
          <w:sz w:val="22"/>
        </w:rPr>
        <w:t>DOCUMENTO-MÃE DA IDENTIDADE INSTITUCIONAL</w:t>
      </w:r>
    </w:p>
    <w:p>
      <w:pPr>
        <w:jc w:val="center"/>
      </w:pPr>
      <w:r>
        <w:rPr>
          <w:rFonts w:ascii="Garamond" w:hAnsi="Garamond"/>
          <w:b/>
          <w:color w:val="1B3A5C"/>
          <w:sz w:val="52"/>
        </w:rPr>
        <w:t>Compêndio da Identidade Completa da EBE</w:t>
      </w:r>
    </w:p>
    <w:p>
      <w:pPr>
        <w:jc w:val="center"/>
      </w:pPr>
      <w:r>
        <w:rPr>
          <w:rFonts w:ascii="Garamond" w:hAnsi="Garamond"/>
          <w:i/>
          <w:color w:val="1A1A1A"/>
          <w:sz w:val="26"/>
        </w:rPr>
        <w:t>Identidade espiritual, doutrinária, pedagógica, académica, organizacional e visual da Escola Bíblica Epignósis</w:t>
      </w:r>
    </w:p>
    <w:p/>
    <w:p/>
    <w:p/>
    <w:p/>
    <w:p/>
    <w:p/>
    <w:p>
      <w:pPr>
        <w:pBdr>
          <w:bottom w:val="single" w:sz="4" w:space="1" w:color="2E7D4F"/>
        </w:pBdr>
      </w:pPr>
    </w:p>
    <w:p>
      <w:pPr>
        <w:jc w:val="center"/>
      </w:pPr>
      <w:r>
        <w:rPr>
          <w:rFonts w:ascii="Garamond" w:hAnsi="Garamond"/>
          <w:color w:val="555555"/>
          <w:sz w:val="20"/>
        </w:rPr>
        <w:t>Documento institucional · EBE-COMP-ID</w:t>
      </w:r>
    </w:p>
    <w:p>
      <w:pPr>
        <w:jc w:val="center"/>
      </w:pPr>
      <w:r>
        <w:rPr>
          <w:rFonts w:ascii="Garamond" w:hAnsi="Garamond"/>
          <w:color w:val="555555"/>
          <w:sz w:val="20"/>
        </w:rPr>
        <w:t>Edição oficial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NOTA DE PROMULGAÇÃO</w:t>
      </w:r>
    </w:p>
    <w:p>
      <w:pPr>
        <w:jc w:val="both"/>
      </w:pPr>
      <w:r>
        <w:rPr>
          <w:rFonts w:ascii="Garamond" w:hAnsi="Garamond"/>
          <w:b w:val="0"/>
          <w:i w:val="0"/>
          <w:sz w:val="24"/>
        </w:rPr>
        <w:t>O presente Compêndio da Identidade Completa da Escola Bíblica Epignósis reúne, sistematiza e harmoniza os elementos essenciais que definem a instituição perante Deus, perante a Igreja, perante os seus alunos, docentes, colaboradores e parceiros ministeriais.</w:t>
      </w:r>
    </w:p>
    <w:p>
      <w:pPr>
        <w:jc w:val="both"/>
      </w:pPr>
      <w:r>
        <w:rPr>
          <w:rFonts w:ascii="Garamond" w:hAnsi="Garamond"/>
          <w:b w:val="0"/>
          <w:i w:val="0"/>
          <w:sz w:val="24"/>
        </w:rPr>
        <w:t>Este documento não substitui os documentos institucionais específicos já aprovados, mas funciona como síntese superior da identidade EBE, servindo como referência para comunicação, formação interna, alinhamento doutrinário, acolhimento de novos membros, orientação pedagógica e salvaguarda da unidade institucional.</w:t>
      </w:r>
    </w:p>
    <w:p>
      <w:pPr>
        <w:spacing w:before="120" w:after="120"/>
        <w:ind w:left="850" w:right="567"/>
        <w:jc w:val="both"/>
      </w:pPr>
      <w:r>
        <w:rPr>
          <w:rFonts w:ascii="Garamond" w:hAnsi="Garamond"/>
          <w:i/>
          <w:color w:val="555555"/>
          <w:sz w:val="22"/>
        </w:rPr>
        <w:t>“Até que todos cheguemos à unidade da fé e ao conhecimento do Filho de Deus, a varão perfeito, à medida da estatura completa de Cristo.”</w:t>
      </w:r>
      <w:r>
        <w:rPr>
          <w:rFonts w:ascii="Garamond" w:hAnsi="Garamond"/>
          <w:i/>
          <w:color w:val="2E7D4F"/>
          <w:sz w:val="20"/>
        </w:rPr>
        <w:t xml:space="preserve">  (Efésios 4.13, ARC)</w:t>
      </w:r>
    </w:p>
    <w:tbl>
      <w:tblPr>
        <w:tblW w:type="auto" w:w="0"/>
        <w:jc w:val="center"/>
        <w:tblLook w:firstColumn="1" w:firstRow="1" w:lastColumn="0" w:lastRow="0" w:noHBand="0" w:noVBand="1" w:val="04A0"/>
      </w:tblPr>
      <w:tblGrid>
        <w:gridCol w:w="8788"/>
      </w:tblGrid>
      <w:tr>
        <w:tc>
          <w:tcPr>
            <w:tcW w:type="dxa" w:w="8788"/>
            <w:shd w:val="clear" w:color="auto" w:fill="E8F1EC"/>
          </w:tcPr>
          <w:p>
            <w:pPr>
              <w:spacing w:after="0"/>
              <w:jc w:val="both"/>
            </w:pPr>
            <w:r>
              <w:rPr>
                <w:rFonts w:ascii="Garamond" w:hAnsi="Garamond"/>
                <w:b/>
                <w:color w:val="1B3A5C"/>
                <w:sz w:val="22"/>
              </w:rPr>
              <w:t xml:space="preserve">Princípio de unidade — </w:t>
            </w:r>
            <w:r>
              <w:rPr>
                <w:rFonts w:ascii="Garamond" w:hAnsi="Garamond"/>
                <w:sz w:val="22"/>
              </w:rPr>
              <w:t>A identidade da EBE não é meramente gráfica, administrativa ou académica. Ela é, antes de tudo, uma identidade espiritual: centrada em Cristo, fundada nas Escrituras e orientada para a edificação da Igreja e a manifestação do Reino de Deus.</w:t>
            </w:r>
          </w:p>
        </w:tc>
      </w:tr>
    </w:tbl>
    <w:p>
      <w:pPr>
        <w:keepNext/>
        <w:spacing w:before="360" w:after="120"/>
        <w:jc w:val="left"/>
        <w:pBdr>
          <w:bottom w:val="single" w:sz="6" w:space="1" w:color="1B3A5C"/>
        </w:pBdr>
      </w:pPr>
      <w:r>
        <w:rPr>
          <w:rFonts w:ascii="Garamond" w:hAnsi="Garamond"/>
          <w:b/>
          <w:color w:val="1B3A5C"/>
          <w:sz w:val="30"/>
        </w:rPr>
        <w:t>SUMÁRIO EXECUTIVO DA IDENTIDADE EBE</w:t>
      </w:r>
    </w:p>
    <w:tbl>
      <w:tblPr>
        <w:tblW w:type="auto" w:w="0"/>
        <w:jc w:val="center"/>
        <w:tblLook w:firstColumn="1" w:firstRow="1" w:lastColumn="0" w:lastRow="0" w:noHBand="0" w:noVBand="1" w:val="04A0"/>
      </w:tblPr>
      <w:tblGrid>
        <w:gridCol w:w="4394"/>
        <w:gridCol w:w="4394"/>
      </w:tblGrid>
      <w:tr>
        <w:tc>
          <w:tcPr>
            <w:tcW w:type="dxa" w:w="4394"/>
            <w:shd w:val="clear" w:color="auto" w:fill="1B3A5C"/>
            <w:vAlign w:val="center"/>
          </w:tcPr>
          <w:p>
            <w:pPr>
              <w:jc w:val="center"/>
            </w:pPr>
            <w:r/>
            <w:r>
              <w:rPr>
                <w:rFonts w:ascii="Garamond" w:hAnsi="Garamond"/>
                <w:b/>
                <w:color w:val="FFFFFF"/>
                <w:sz w:val="18"/>
              </w:rPr>
              <w:t>Elemento</w:t>
            </w:r>
          </w:p>
        </w:tc>
        <w:tc>
          <w:tcPr>
            <w:tcW w:type="dxa" w:w="4394"/>
            <w:shd w:val="clear" w:color="auto" w:fill="1B3A5C"/>
            <w:vAlign w:val="center"/>
          </w:tcPr>
          <w:p>
            <w:pPr>
              <w:jc w:val="center"/>
            </w:pPr>
            <w:r/>
            <w:r>
              <w:rPr>
                <w:rFonts w:ascii="Garamond" w:hAnsi="Garamond"/>
                <w:b/>
                <w:color w:val="FFFFFF"/>
                <w:sz w:val="18"/>
              </w:rPr>
              <w:t>Formulação institucional</w:t>
            </w:r>
          </w:p>
        </w:tc>
      </w:tr>
      <w:tr>
        <w:tc>
          <w:tcPr>
            <w:tcW w:type="dxa" w:w="4394"/>
            <w:vAlign w:val="center"/>
          </w:tcPr>
          <w:p>
            <w:pPr>
              <w:jc w:val="left"/>
            </w:pPr>
            <w:r/>
            <w:r>
              <w:rPr>
                <w:rFonts w:ascii="Garamond" w:hAnsi="Garamond"/>
                <w:b/>
                <w:color w:val="1B3A5C"/>
                <w:sz w:val="19"/>
              </w:rPr>
              <w:t>Nome</w:t>
            </w:r>
          </w:p>
        </w:tc>
        <w:tc>
          <w:tcPr>
            <w:tcW w:type="dxa" w:w="4394"/>
            <w:vAlign w:val="center"/>
          </w:tcPr>
          <w:p>
            <w:pPr>
              <w:jc w:val="left"/>
            </w:pPr>
            <w:r/>
            <w:r>
              <w:rPr>
                <w:rFonts w:ascii="Garamond" w:hAnsi="Garamond"/>
                <w:b w:val="0"/>
                <w:sz w:val="19"/>
              </w:rPr>
              <w:t>Escola Bíblica Epignósis — EBE.</w:t>
            </w:r>
          </w:p>
        </w:tc>
      </w:tr>
      <w:tr>
        <w:tc>
          <w:tcPr>
            <w:tcW w:type="dxa" w:w="4394"/>
            <w:vAlign w:val="center"/>
          </w:tcPr>
          <w:p>
            <w:pPr>
              <w:jc w:val="left"/>
            </w:pPr>
            <w:r/>
            <w:r>
              <w:rPr>
                <w:rFonts w:ascii="Garamond" w:hAnsi="Garamond"/>
                <w:b/>
                <w:color w:val="1B3A5C"/>
                <w:sz w:val="19"/>
              </w:rPr>
              <w:t>Lema</w:t>
            </w:r>
          </w:p>
        </w:tc>
        <w:tc>
          <w:tcPr>
            <w:tcW w:type="dxa" w:w="4394"/>
            <w:vAlign w:val="center"/>
          </w:tcPr>
          <w:p>
            <w:pPr>
              <w:jc w:val="left"/>
            </w:pPr>
            <w:r/>
            <w:r>
              <w:rPr>
                <w:rFonts w:ascii="Garamond" w:hAnsi="Garamond"/>
                <w:b w:val="0"/>
                <w:sz w:val="19"/>
              </w:rPr>
              <w:t>Conhecer a Deus. Viver a Palavra. Manifestar o Reino.</w:t>
            </w:r>
          </w:p>
        </w:tc>
      </w:tr>
      <w:tr>
        <w:tc>
          <w:tcPr>
            <w:tcW w:type="dxa" w:w="4394"/>
            <w:vAlign w:val="center"/>
          </w:tcPr>
          <w:p>
            <w:pPr>
              <w:jc w:val="left"/>
            </w:pPr>
            <w:r/>
            <w:r>
              <w:rPr>
                <w:rFonts w:ascii="Garamond" w:hAnsi="Garamond"/>
                <w:b/>
                <w:color w:val="1B3A5C"/>
                <w:sz w:val="19"/>
              </w:rPr>
              <w:t>Marco filosófico</w:t>
            </w:r>
          </w:p>
        </w:tc>
        <w:tc>
          <w:tcPr>
            <w:tcW w:type="dxa" w:w="4394"/>
            <w:vAlign w:val="center"/>
          </w:tcPr>
          <w:p>
            <w:pPr>
              <w:jc w:val="left"/>
            </w:pPr>
            <w:r/>
            <w:r>
              <w:rPr>
                <w:rFonts w:ascii="Garamond" w:hAnsi="Garamond"/>
                <w:b w:val="0"/>
                <w:sz w:val="19"/>
              </w:rPr>
              <w:t>O verdadeiro conhecimento de Deus transforma a mente, o coração e a vida.</w:t>
            </w:r>
          </w:p>
        </w:tc>
      </w:tr>
      <w:tr>
        <w:tc>
          <w:tcPr>
            <w:tcW w:type="dxa" w:w="4394"/>
            <w:vAlign w:val="center"/>
          </w:tcPr>
          <w:p>
            <w:pPr>
              <w:jc w:val="left"/>
            </w:pPr>
            <w:r/>
            <w:r>
              <w:rPr>
                <w:rFonts w:ascii="Garamond" w:hAnsi="Garamond"/>
                <w:b/>
                <w:color w:val="1B3A5C"/>
                <w:sz w:val="19"/>
              </w:rPr>
              <w:t>Palavra-chave</w:t>
            </w:r>
          </w:p>
        </w:tc>
        <w:tc>
          <w:tcPr>
            <w:tcW w:type="dxa" w:w="4394"/>
            <w:vAlign w:val="center"/>
          </w:tcPr>
          <w:p>
            <w:pPr>
              <w:jc w:val="left"/>
            </w:pPr>
            <w:r/>
            <w:r>
              <w:rPr>
                <w:rFonts w:ascii="Garamond" w:hAnsi="Garamond"/>
                <w:b w:val="0"/>
                <w:sz w:val="19"/>
              </w:rPr>
              <w:t>ἐπίγνωσις — conhecimento pleno, profundo, experiencial e transformador de Deus.</w:t>
            </w:r>
          </w:p>
        </w:tc>
      </w:tr>
      <w:tr>
        <w:tc>
          <w:tcPr>
            <w:tcW w:type="dxa" w:w="4394"/>
            <w:vAlign w:val="center"/>
          </w:tcPr>
          <w:p>
            <w:pPr>
              <w:jc w:val="left"/>
            </w:pPr>
            <w:r/>
            <w:r>
              <w:rPr>
                <w:rFonts w:ascii="Garamond" w:hAnsi="Garamond"/>
                <w:b/>
                <w:color w:val="1B3A5C"/>
                <w:sz w:val="19"/>
              </w:rPr>
              <w:t>Versão bíblica de referência</w:t>
            </w:r>
          </w:p>
        </w:tc>
        <w:tc>
          <w:tcPr>
            <w:tcW w:type="dxa" w:w="4394"/>
            <w:vAlign w:val="center"/>
          </w:tcPr>
          <w:p>
            <w:pPr>
              <w:jc w:val="left"/>
            </w:pPr>
            <w:r/>
            <w:r>
              <w:rPr>
                <w:rFonts w:ascii="Garamond" w:hAnsi="Garamond"/>
                <w:b w:val="0"/>
                <w:sz w:val="19"/>
              </w:rPr>
              <w:t>Almeida Revista e Corrigida — ARC.</w:t>
            </w:r>
          </w:p>
        </w:tc>
      </w:tr>
      <w:tr>
        <w:tc>
          <w:tcPr>
            <w:tcW w:type="dxa" w:w="4394"/>
            <w:vAlign w:val="center"/>
          </w:tcPr>
          <w:p>
            <w:pPr>
              <w:jc w:val="left"/>
            </w:pPr>
            <w:r/>
            <w:r>
              <w:rPr>
                <w:rFonts w:ascii="Garamond" w:hAnsi="Garamond"/>
                <w:b/>
                <w:color w:val="1B3A5C"/>
                <w:sz w:val="19"/>
              </w:rPr>
              <w:t>Eixos pedagógicos</w:t>
            </w:r>
          </w:p>
        </w:tc>
        <w:tc>
          <w:tcPr>
            <w:tcW w:type="dxa" w:w="4394"/>
            <w:vAlign w:val="center"/>
          </w:tcPr>
          <w:p>
            <w:pPr>
              <w:jc w:val="left"/>
            </w:pPr>
            <w:r/>
            <w:r>
              <w:rPr>
                <w:rFonts w:ascii="Garamond" w:hAnsi="Garamond"/>
                <w:b w:val="0"/>
                <w:sz w:val="19"/>
              </w:rPr>
              <w:t>Conhecer · Crer · Viver · Servir.</w:t>
            </w:r>
          </w:p>
        </w:tc>
      </w:tr>
      <w:tr>
        <w:tc>
          <w:tcPr>
            <w:tcW w:type="dxa" w:w="4394"/>
            <w:vAlign w:val="center"/>
          </w:tcPr>
          <w:p>
            <w:pPr>
              <w:jc w:val="left"/>
            </w:pPr>
            <w:r/>
            <w:r>
              <w:rPr>
                <w:rFonts w:ascii="Garamond" w:hAnsi="Garamond"/>
                <w:b/>
                <w:color w:val="1B3A5C"/>
                <w:sz w:val="19"/>
              </w:rPr>
              <w:t>Níveis formativos</w:t>
            </w:r>
          </w:p>
        </w:tc>
        <w:tc>
          <w:tcPr>
            <w:tcW w:type="dxa" w:w="4394"/>
            <w:vAlign w:val="center"/>
          </w:tcPr>
          <w:p>
            <w:pPr>
              <w:jc w:val="left"/>
            </w:pPr>
            <w:r/>
            <w:r>
              <w:rPr>
                <w:rFonts w:ascii="Garamond" w:hAnsi="Garamond"/>
                <w:b w:val="0"/>
                <w:sz w:val="19"/>
              </w:rPr>
              <w:t>Discípulo · Crescimento · Servir · Multiplicação.</w:t>
            </w:r>
          </w:p>
        </w:tc>
      </w:tr>
      <w:tr>
        <w:tc>
          <w:tcPr>
            <w:tcW w:type="dxa" w:w="4394"/>
            <w:vAlign w:val="center"/>
          </w:tcPr>
          <w:p>
            <w:pPr>
              <w:jc w:val="left"/>
            </w:pPr>
            <w:r/>
            <w:r>
              <w:rPr>
                <w:rFonts w:ascii="Garamond" w:hAnsi="Garamond"/>
                <w:b/>
                <w:color w:val="1B3A5C"/>
                <w:sz w:val="19"/>
              </w:rPr>
              <w:t>Institutos fundadores</w:t>
            </w:r>
          </w:p>
        </w:tc>
        <w:tc>
          <w:tcPr>
            <w:tcW w:type="dxa" w:w="4394"/>
            <w:vAlign w:val="center"/>
          </w:tcPr>
          <w:p>
            <w:pPr>
              <w:jc w:val="left"/>
            </w:pPr>
            <w:r/>
            <w:r>
              <w:rPr>
                <w:rFonts w:ascii="Garamond" w:hAnsi="Garamond"/>
                <w:b w:val="0"/>
                <w:sz w:val="19"/>
              </w:rPr>
              <w:t>10 institutos, organizando a formação bíblica, teológica, espiritual, ministerial e missionária.</w:t>
            </w:r>
          </w:p>
        </w:tc>
      </w:tr>
      <w:tr>
        <w:tc>
          <w:tcPr>
            <w:tcW w:type="dxa" w:w="4394"/>
            <w:vAlign w:val="center"/>
          </w:tcPr>
          <w:p>
            <w:pPr>
              <w:jc w:val="left"/>
            </w:pPr>
            <w:r/>
            <w:r>
              <w:rPr>
                <w:rFonts w:ascii="Garamond" w:hAnsi="Garamond"/>
                <w:b/>
                <w:color w:val="1B3A5C"/>
                <w:sz w:val="19"/>
              </w:rPr>
              <w:t>Carga formativa completa</w:t>
            </w:r>
          </w:p>
        </w:tc>
        <w:tc>
          <w:tcPr>
            <w:tcW w:type="dxa" w:w="4394"/>
            <w:vAlign w:val="center"/>
          </w:tcPr>
          <w:p>
            <w:pPr>
              <w:jc w:val="left"/>
            </w:pPr>
            <w:r/>
            <w:r>
              <w:rPr>
                <w:rFonts w:ascii="Garamond" w:hAnsi="Garamond"/>
                <w:b w:val="0"/>
                <w:sz w:val="19"/>
              </w:rPr>
              <w:t>2.200–2.400 horas, aproximadamente.</w:t>
            </w:r>
          </w:p>
        </w:tc>
      </w:tr>
      <w:tr>
        <w:tc>
          <w:tcPr>
            <w:tcW w:type="dxa" w:w="4394"/>
            <w:vAlign w:val="center"/>
          </w:tcPr>
          <w:p>
            <w:pPr>
              <w:jc w:val="left"/>
            </w:pPr>
            <w:r/>
            <w:r>
              <w:rPr>
                <w:rFonts w:ascii="Garamond" w:hAnsi="Garamond"/>
                <w:b/>
                <w:color w:val="1B3A5C"/>
                <w:sz w:val="19"/>
              </w:rPr>
              <w:t>Paleta visual</w:t>
            </w:r>
          </w:p>
        </w:tc>
        <w:tc>
          <w:tcPr>
            <w:tcW w:type="dxa" w:w="4394"/>
            <w:vAlign w:val="center"/>
          </w:tcPr>
          <w:p>
            <w:pPr>
              <w:jc w:val="left"/>
            </w:pPr>
            <w:r/>
            <w:r>
              <w:rPr>
                <w:rFonts w:ascii="Garamond" w:hAnsi="Garamond"/>
                <w:b w:val="0"/>
                <w:sz w:val="19"/>
              </w:rPr>
              <w:t>Azul-marinho #1B3A5C · Verde #2E7D4F · Dourado #C9A14B.</w:t>
            </w:r>
          </w:p>
        </w:tc>
      </w:tr>
    </w:tbl>
    <w:p>
      <w:r>
        <w:br w:type="page"/>
      </w:r>
    </w:p>
    <w:p>
      <w:pPr>
        <w:keepNext/>
        <w:spacing w:before="360" w:after="120"/>
        <w:jc w:val="left"/>
        <w:pBdr>
          <w:bottom w:val="single" w:sz="6" w:space="1" w:color="1B3A5C"/>
        </w:pBdr>
      </w:pPr>
      <w:r>
        <w:rPr>
          <w:rFonts w:ascii="Garamond" w:hAnsi="Garamond"/>
          <w:b/>
          <w:color w:val="1B3A5C"/>
          <w:sz w:val="30"/>
        </w:rPr>
        <w:t>1. CAPÍTULO I — IDENTIDADE ESPIRITUAL E TEOLÓGICA</w:t>
      </w:r>
    </w:p>
    <w:p>
      <w:pPr>
        <w:keepNext/>
        <w:spacing w:before="240" w:after="80"/>
      </w:pPr>
      <w:r>
        <w:rPr>
          <w:rFonts w:ascii="Garamond" w:hAnsi="Garamond"/>
          <w:b/>
          <w:color w:val="1B3A5C"/>
          <w:sz w:val="26"/>
        </w:rPr>
        <w:t>1.1. Centro cristológico</w:t>
      </w:r>
    </w:p>
    <w:p>
      <w:pPr>
        <w:jc w:val="both"/>
      </w:pPr>
      <w:r>
        <w:rPr>
          <w:rFonts w:ascii="Garamond" w:hAnsi="Garamond"/>
          <w:b w:val="0"/>
          <w:i w:val="0"/>
          <w:sz w:val="24"/>
        </w:rPr>
        <w:t>A Escola Bíblica Epignósis confessa que Jesus Cristo é o centro da revelação bíblica, o Senhor da Igreja, o Salvador do mundo e o fundamento de todo ensino cristão. Nenhum conteúdo, método, curso, apostila, projecto ou actividade institucional pode ser considerado fiel se não conduzir a Cristo e à obediência à Sua Palavra.</w:t>
      </w:r>
    </w:p>
    <w:p>
      <w:pPr>
        <w:spacing w:before="120" w:after="120"/>
        <w:ind w:left="850" w:right="567"/>
        <w:jc w:val="both"/>
      </w:pPr>
      <w:r>
        <w:rPr>
          <w:rFonts w:ascii="Garamond" w:hAnsi="Garamond"/>
          <w:i/>
          <w:color w:val="555555"/>
          <w:sz w:val="22"/>
        </w:rPr>
        <w:t>“Porque ninguém pode pôr outro fundamento, além do que já está posto, o qual é Jesus Cristo.”</w:t>
      </w:r>
      <w:r>
        <w:rPr>
          <w:rFonts w:ascii="Garamond" w:hAnsi="Garamond"/>
          <w:i/>
          <w:color w:val="2E7D4F"/>
          <w:sz w:val="20"/>
        </w:rPr>
        <w:t xml:space="preserve">  (1 Coríntios 3.11, ARC)</w:t>
      </w:r>
    </w:p>
    <w:p>
      <w:pPr>
        <w:keepNext/>
        <w:spacing w:before="240" w:after="80"/>
      </w:pPr>
      <w:r>
        <w:rPr>
          <w:rFonts w:ascii="Garamond" w:hAnsi="Garamond"/>
          <w:b/>
          <w:color w:val="1B3A5C"/>
          <w:sz w:val="26"/>
        </w:rPr>
        <w:t>1.2. Autoridade das Escrituras</w:t>
      </w:r>
    </w:p>
    <w:p>
      <w:pPr>
        <w:jc w:val="both"/>
      </w:pPr>
      <w:r>
        <w:rPr>
          <w:rFonts w:ascii="Garamond" w:hAnsi="Garamond"/>
          <w:b w:val="0"/>
          <w:i w:val="0"/>
          <w:sz w:val="24"/>
        </w:rPr>
        <w:t>A EBE reconhece as Sagradas Escrituras como Palavra de Deus, inspirada, suficiente, verdadeira e normativa para a fé, a doutrina, a vida, a missão e a prática ministerial. A Bíblia não é apenas objecto de estudo; é regra de fé, obediência e transformação.</w:t>
      </w:r>
    </w:p>
    <w:p>
      <w:pPr>
        <w:spacing w:before="120" w:after="120"/>
        <w:ind w:left="850" w:right="567"/>
        <w:jc w:val="both"/>
      </w:pPr>
      <w:r>
        <w:rPr>
          <w:rFonts w:ascii="Garamond" w:hAnsi="Garamond"/>
          <w:i/>
          <w:color w:val="555555"/>
          <w:sz w:val="22"/>
        </w:rPr>
        <w:t>“Toda Escritura divinamente inspirada é proveitosa para ensinar, para redarguir, para corrigir, para instruir em justiça.”</w:t>
      </w:r>
      <w:r>
        <w:rPr>
          <w:rFonts w:ascii="Garamond" w:hAnsi="Garamond"/>
          <w:i/>
          <w:color w:val="2E7D4F"/>
          <w:sz w:val="20"/>
        </w:rPr>
        <w:t xml:space="preserve">  (2 Timóteo 3.16, ARC)</w:t>
      </w:r>
    </w:p>
    <w:p>
      <w:pPr>
        <w:keepNext/>
        <w:spacing w:before="240" w:after="80"/>
      </w:pPr>
      <w:r>
        <w:rPr>
          <w:rFonts w:ascii="Garamond" w:hAnsi="Garamond"/>
          <w:b/>
          <w:color w:val="1B3A5C"/>
          <w:sz w:val="26"/>
        </w:rPr>
        <w:t>1.3. Dependência do Espírito Santo</w:t>
      </w:r>
    </w:p>
    <w:p>
      <w:pPr>
        <w:jc w:val="both"/>
      </w:pPr>
      <w:r>
        <w:rPr>
          <w:rFonts w:ascii="Garamond" w:hAnsi="Garamond"/>
          <w:b w:val="0"/>
          <w:i w:val="0"/>
          <w:sz w:val="24"/>
        </w:rPr>
        <w:t>A EBE afirma que o verdadeiro conhecimento de Deus não nasce apenas do esforço intelectual, mas da iluminação e acção do Espírito Santo. Estudo sem oração tende à aridez; oração sem estudo tende à superficialidade. A formação Epignósis integra mente renovada, coração rendido e vida obediente.</w:t>
      </w:r>
    </w:p>
    <w:p>
      <w:pPr>
        <w:spacing w:before="120" w:after="120"/>
        <w:ind w:left="850" w:right="567"/>
        <w:jc w:val="both"/>
      </w:pPr>
      <w:r>
        <w:rPr>
          <w:rFonts w:ascii="Garamond" w:hAnsi="Garamond"/>
          <w:i/>
          <w:color w:val="555555"/>
          <w:sz w:val="22"/>
        </w:rPr>
        <w:t>“Mas aquele Consolador, o Espírito Santo, que o Pai enviará em meu nome, esse vos ensinará todas as coisas.”</w:t>
      </w:r>
      <w:r>
        <w:rPr>
          <w:rFonts w:ascii="Garamond" w:hAnsi="Garamond"/>
          <w:i/>
          <w:color w:val="2E7D4F"/>
          <w:sz w:val="20"/>
        </w:rPr>
        <w:t xml:space="preserve">  (João 14.26, ARC)</w:t>
      </w:r>
    </w:p>
    <w:p>
      <w:pPr>
        <w:keepNext/>
        <w:spacing w:before="240" w:after="80"/>
      </w:pPr>
      <w:r>
        <w:rPr>
          <w:rFonts w:ascii="Garamond" w:hAnsi="Garamond"/>
          <w:b/>
          <w:color w:val="1B3A5C"/>
          <w:sz w:val="26"/>
        </w:rPr>
        <w:t>1.4. Vocação eclesial</w:t>
      </w:r>
    </w:p>
    <w:p>
      <w:pPr>
        <w:jc w:val="both"/>
      </w:pPr>
      <w:r>
        <w:rPr>
          <w:rFonts w:ascii="Garamond" w:hAnsi="Garamond"/>
          <w:b w:val="0"/>
          <w:i w:val="0"/>
          <w:sz w:val="24"/>
        </w:rPr>
        <w:t>A EBE existe para servir à Igreja de Cristo, e não para a substituir. A Escola honra a igreja local, reconhece a importância da autoridade pastoral e busca formar discípulos e líderes que retornem às suas comunidades mais maduros, bíblicos, humildes e frutíferos.</w:t>
      </w:r>
    </w:p>
    <w:tbl>
      <w:tblPr>
        <w:tblW w:type="auto" w:w="0"/>
        <w:jc w:val="center"/>
        <w:tblLook w:firstColumn="1" w:firstRow="1" w:lastColumn="0" w:lastRow="0" w:noHBand="0" w:noVBand="1" w:val="04A0"/>
      </w:tblPr>
      <w:tblGrid>
        <w:gridCol w:w="8788"/>
      </w:tblGrid>
      <w:tr>
        <w:tc>
          <w:tcPr>
            <w:tcW w:type="dxa" w:w="8788"/>
            <w:shd w:val="clear" w:color="auto" w:fill="E8F1EC"/>
          </w:tcPr>
          <w:p>
            <w:pPr>
              <w:spacing w:after="0"/>
              <w:jc w:val="both"/>
            </w:pPr>
            <w:r>
              <w:rPr>
                <w:rFonts w:ascii="Garamond" w:hAnsi="Garamond"/>
                <w:b/>
                <w:color w:val="1B3A5C"/>
                <w:sz w:val="22"/>
              </w:rPr>
              <w:t xml:space="preserve">Confissão eclesial — </w:t>
            </w:r>
            <w:r>
              <w:rPr>
                <w:rFonts w:ascii="Garamond" w:hAnsi="Garamond"/>
                <w:sz w:val="22"/>
              </w:rPr>
              <w:t>A Escola Bíblica Epignósis é uma escola para a Igreja, com a Igreja e a serviço da Igreja.</w:t>
            </w:r>
          </w:p>
        </w:tc>
      </w:tr>
    </w:tbl>
    <w:p>
      <w:pPr>
        <w:keepNext/>
        <w:spacing w:before="360" w:after="120"/>
        <w:jc w:val="left"/>
        <w:pBdr>
          <w:bottom w:val="single" w:sz="6" w:space="1" w:color="1B3A5C"/>
        </w:pBdr>
      </w:pPr>
      <w:r>
        <w:rPr>
          <w:rFonts w:ascii="Garamond" w:hAnsi="Garamond"/>
          <w:b/>
          <w:color w:val="1B3A5C"/>
          <w:sz w:val="30"/>
        </w:rPr>
        <w:t>2. CAPÍTULO II — NOME, ETIMOLOGIA E VOCAÇÃO EPIGNÓSIS</w:t>
      </w:r>
    </w:p>
    <w:p>
      <w:pPr>
        <w:jc w:val="both"/>
      </w:pPr>
      <w:r>
        <w:rPr>
          <w:rFonts w:ascii="Garamond" w:hAnsi="Garamond"/>
          <w:b w:val="0"/>
          <w:i w:val="0"/>
          <w:sz w:val="24"/>
        </w:rPr>
        <w:t>O nome Epignósis deriva do termo grego ἐπίγνωσις (epígnōsis), frequentemente utilizado no Novo Testamento para indicar conhecimento pleno, profundo, relacional, experiencial e transformador. A EBE não se contenta com informação religiosa; busca formação integral em Cristo.</w:t>
      </w:r>
    </w:p>
    <w:tbl>
      <w:tblPr>
        <w:tblW w:type="auto" w:w="0"/>
        <w:jc w:val="center"/>
        <w:tblLook w:firstColumn="1" w:firstRow="1" w:lastColumn="0" w:lastRow="0" w:noHBand="0" w:noVBand="1" w:val="04A0"/>
      </w:tblPr>
      <w:tblGrid>
        <w:gridCol w:w="2929"/>
        <w:gridCol w:w="2929"/>
        <w:gridCol w:w="2929"/>
      </w:tblGrid>
      <w:tr>
        <w:tc>
          <w:tcPr>
            <w:tcW w:type="dxa" w:w="2929"/>
            <w:shd w:val="clear" w:color="auto" w:fill="1B3A5C"/>
            <w:vAlign w:val="center"/>
          </w:tcPr>
          <w:p>
            <w:pPr>
              <w:jc w:val="center"/>
            </w:pPr>
            <w:r/>
            <w:r>
              <w:rPr>
                <w:rFonts w:ascii="Garamond" w:hAnsi="Garamond"/>
                <w:b/>
                <w:color w:val="FFFFFF"/>
                <w:sz w:val="18"/>
              </w:rPr>
              <w:t>Termo</w:t>
            </w:r>
          </w:p>
        </w:tc>
        <w:tc>
          <w:tcPr>
            <w:tcW w:type="dxa" w:w="2929"/>
            <w:shd w:val="clear" w:color="auto" w:fill="1B3A5C"/>
            <w:vAlign w:val="center"/>
          </w:tcPr>
          <w:p>
            <w:pPr>
              <w:jc w:val="center"/>
            </w:pPr>
            <w:r/>
            <w:r>
              <w:rPr>
                <w:rFonts w:ascii="Garamond" w:hAnsi="Garamond"/>
                <w:b/>
                <w:color w:val="FFFFFF"/>
                <w:sz w:val="18"/>
              </w:rPr>
              <w:t>Sentido</w:t>
            </w:r>
          </w:p>
        </w:tc>
        <w:tc>
          <w:tcPr>
            <w:tcW w:type="dxa" w:w="2929"/>
            <w:shd w:val="clear" w:color="auto" w:fill="1B3A5C"/>
            <w:vAlign w:val="center"/>
          </w:tcPr>
          <w:p>
            <w:pPr>
              <w:jc w:val="center"/>
            </w:pPr>
            <w:r/>
            <w:r>
              <w:rPr>
                <w:rFonts w:ascii="Garamond" w:hAnsi="Garamond"/>
                <w:b/>
                <w:color w:val="FFFFFF"/>
                <w:sz w:val="18"/>
              </w:rPr>
              <w:t>Implicação para a EBE</w:t>
            </w:r>
          </w:p>
        </w:tc>
      </w:tr>
      <w:tr>
        <w:tc>
          <w:tcPr>
            <w:tcW w:type="dxa" w:w="2929"/>
            <w:vAlign w:val="center"/>
          </w:tcPr>
          <w:p>
            <w:pPr>
              <w:jc w:val="left"/>
            </w:pPr>
            <w:r/>
            <w:r>
              <w:rPr>
                <w:rFonts w:ascii="Garamond" w:hAnsi="Garamond"/>
                <w:b w:val="0"/>
                <w:sz w:val="19"/>
              </w:rPr>
              <w:t>γνῶσις — gnōsis</w:t>
            </w:r>
          </w:p>
        </w:tc>
        <w:tc>
          <w:tcPr>
            <w:tcW w:type="dxa" w:w="2929"/>
            <w:vAlign w:val="center"/>
          </w:tcPr>
          <w:p>
            <w:pPr>
              <w:jc w:val="left"/>
            </w:pPr>
            <w:r/>
            <w:r>
              <w:rPr>
                <w:rFonts w:ascii="Garamond" w:hAnsi="Garamond"/>
                <w:b w:val="0"/>
                <w:sz w:val="19"/>
              </w:rPr>
              <w:t>Conhecimento, informação, compreensão.</w:t>
            </w:r>
          </w:p>
        </w:tc>
        <w:tc>
          <w:tcPr>
            <w:tcW w:type="dxa" w:w="2929"/>
            <w:vAlign w:val="center"/>
          </w:tcPr>
          <w:p>
            <w:pPr>
              <w:jc w:val="left"/>
            </w:pPr>
            <w:r/>
            <w:r>
              <w:rPr>
                <w:rFonts w:ascii="Garamond" w:hAnsi="Garamond"/>
                <w:b w:val="0"/>
                <w:sz w:val="19"/>
              </w:rPr>
              <w:t>Importante, mas insuficiente se não gerar vida.</w:t>
            </w:r>
          </w:p>
        </w:tc>
      </w:tr>
      <w:tr>
        <w:tc>
          <w:tcPr>
            <w:tcW w:type="dxa" w:w="2929"/>
            <w:vAlign w:val="center"/>
          </w:tcPr>
          <w:p>
            <w:pPr>
              <w:jc w:val="left"/>
            </w:pPr>
            <w:r/>
            <w:r>
              <w:rPr>
                <w:rFonts w:ascii="Garamond" w:hAnsi="Garamond"/>
                <w:b w:val="0"/>
                <w:sz w:val="19"/>
              </w:rPr>
              <w:t>ἐπίγνωσις — epígnōsis</w:t>
            </w:r>
          </w:p>
        </w:tc>
        <w:tc>
          <w:tcPr>
            <w:tcW w:type="dxa" w:w="2929"/>
            <w:vAlign w:val="center"/>
          </w:tcPr>
          <w:p>
            <w:pPr>
              <w:jc w:val="left"/>
            </w:pPr>
            <w:r/>
            <w:r>
              <w:rPr>
                <w:rFonts w:ascii="Garamond" w:hAnsi="Garamond"/>
                <w:b w:val="0"/>
                <w:sz w:val="19"/>
              </w:rPr>
              <w:t>Conhecimento pleno, profundo, experiencial e transformador.</w:t>
            </w:r>
          </w:p>
        </w:tc>
        <w:tc>
          <w:tcPr>
            <w:tcW w:type="dxa" w:w="2929"/>
            <w:vAlign w:val="center"/>
          </w:tcPr>
          <w:p>
            <w:pPr>
              <w:jc w:val="left"/>
            </w:pPr>
            <w:r/>
            <w:r>
              <w:rPr>
                <w:rFonts w:ascii="Garamond" w:hAnsi="Garamond"/>
                <w:b w:val="0"/>
                <w:sz w:val="19"/>
              </w:rPr>
              <w:t>Modelo de formação desejado: mente, coração e prática transformados.</w:t>
            </w:r>
          </w:p>
        </w:tc>
      </w:tr>
    </w:tbl>
    <w:p>
      <w:pPr>
        <w:spacing w:before="120" w:after="120"/>
        <w:ind w:left="850" w:right="567"/>
        <w:jc w:val="both"/>
      </w:pPr>
      <w:r>
        <w:rPr>
          <w:rFonts w:ascii="Garamond" w:hAnsi="Garamond"/>
          <w:i/>
          <w:color w:val="555555"/>
          <w:sz w:val="22"/>
        </w:rPr>
        <w:t>“Para que os seus corações sejam consolados, e estejam unidos em caridade e enriquecidos da plenitude da inteligência, para conhecimento do mistério de Deus e Pai, e de Cristo.”</w:t>
      </w:r>
      <w:r>
        <w:rPr>
          <w:rFonts w:ascii="Garamond" w:hAnsi="Garamond"/>
          <w:i/>
          <w:color w:val="2E7D4F"/>
          <w:sz w:val="20"/>
        </w:rPr>
        <w:t xml:space="preserve">  (Colossenses 2.2, ARC)</w:t>
      </w:r>
    </w:p>
    <w:p>
      <w:pPr>
        <w:spacing w:before="120" w:after="120"/>
        <w:ind w:left="850" w:right="567"/>
        <w:jc w:val="both"/>
      </w:pPr>
      <w:r>
        <w:rPr>
          <w:rFonts w:ascii="Garamond" w:hAnsi="Garamond"/>
          <w:i/>
          <w:color w:val="555555"/>
          <w:sz w:val="22"/>
        </w:rPr>
        <w:t>“Para conhecê-lo, e à virtude da sua ressurreição, e à comunicação de suas aflições, sendo feito conforme à sua morte.”</w:t>
      </w:r>
      <w:r>
        <w:rPr>
          <w:rFonts w:ascii="Garamond" w:hAnsi="Garamond"/>
          <w:i/>
          <w:color w:val="2E7D4F"/>
          <w:sz w:val="20"/>
        </w:rPr>
        <w:t xml:space="preserve">  (Filipenses 3.10, ARC)</w:t>
      </w:r>
    </w:p>
    <w:p>
      <w:pPr>
        <w:keepNext/>
        <w:spacing w:before="360" w:after="120"/>
        <w:jc w:val="left"/>
        <w:pBdr>
          <w:bottom w:val="single" w:sz="6" w:space="1" w:color="1B3A5C"/>
        </w:pBdr>
      </w:pPr>
      <w:r>
        <w:rPr>
          <w:rFonts w:ascii="Garamond" w:hAnsi="Garamond"/>
          <w:b/>
          <w:color w:val="1B3A5C"/>
          <w:sz w:val="30"/>
        </w:rPr>
        <w:t>3. CAPÍTULO III — LEMA, MISSÃO, VISÃO E MARCO FILOSÓFICO</w:t>
      </w:r>
    </w:p>
    <w:p>
      <w:pPr>
        <w:keepNext/>
        <w:spacing w:before="240" w:after="80"/>
      </w:pPr>
      <w:r>
        <w:rPr>
          <w:rFonts w:ascii="Garamond" w:hAnsi="Garamond"/>
          <w:b/>
          <w:color w:val="1B3A5C"/>
          <w:sz w:val="26"/>
        </w:rPr>
        <w:t>3.1. Lema institucional</w:t>
      </w:r>
    </w:p>
    <w:p>
      <w:pPr>
        <w:jc w:val="center"/>
      </w:pPr>
      <w:r>
        <w:rPr>
          <w:rFonts w:ascii="Garamond" w:hAnsi="Garamond"/>
          <w:b/>
          <w:i/>
          <w:color w:val="1B3A5C"/>
          <w:sz w:val="32"/>
        </w:rPr>
        <w:t>Conhecer a Deus.  Viver a Palavra.  Manifestar o Reino.</w:t>
      </w:r>
    </w:p>
    <w:p>
      <w:pPr>
        <w:keepNext/>
        <w:spacing w:before="240" w:after="80"/>
      </w:pPr>
      <w:r>
        <w:rPr>
          <w:rFonts w:ascii="Garamond" w:hAnsi="Garamond"/>
          <w:b/>
          <w:color w:val="1B3A5C"/>
          <w:sz w:val="26"/>
        </w:rPr>
        <w:t>3.2. Missão</w:t>
      </w:r>
    </w:p>
    <w:p>
      <w:pPr>
        <w:jc w:val="both"/>
      </w:pPr>
      <w:r>
        <w:rPr>
          <w:rFonts w:ascii="Garamond" w:hAnsi="Garamond"/>
          <w:b w:val="0"/>
          <w:i w:val="0"/>
          <w:sz w:val="24"/>
        </w:rPr>
        <w:t>Conduzir cada aluno ao conhecimento pleno de Deus por meio das Escrituras, da acção do Espírito Santo e da prática do Evangelho, formando discípulos maduros, líderes íntegros, servos frutíferos e multiplicadores do Reino.</w:t>
      </w:r>
    </w:p>
    <w:p>
      <w:pPr>
        <w:keepNext/>
        <w:spacing w:before="240" w:after="80"/>
      </w:pPr>
      <w:r>
        <w:rPr>
          <w:rFonts w:ascii="Garamond" w:hAnsi="Garamond"/>
          <w:b/>
          <w:color w:val="1B3A5C"/>
          <w:sz w:val="26"/>
        </w:rPr>
        <w:t>3.3. Visão</w:t>
      </w:r>
    </w:p>
    <w:p>
      <w:pPr>
        <w:jc w:val="both"/>
      </w:pPr>
      <w:r>
        <w:rPr>
          <w:rFonts w:ascii="Garamond" w:hAnsi="Garamond"/>
          <w:b w:val="0"/>
          <w:i w:val="0"/>
          <w:sz w:val="24"/>
        </w:rPr>
        <w:t>Ser uma referência na formação bíblica, teológica, espiritual, ministerial e missionária de discípulos de Cristo, servindo à Igreja com excelência, fidelidade doutrinária, profundidade espiritual e impacto transformador.</w:t>
      </w:r>
    </w:p>
    <w:p>
      <w:pPr>
        <w:keepNext/>
        <w:spacing w:before="240" w:after="80"/>
      </w:pPr>
      <w:r>
        <w:rPr>
          <w:rFonts w:ascii="Garamond" w:hAnsi="Garamond"/>
          <w:b/>
          <w:color w:val="1B3A5C"/>
          <w:sz w:val="26"/>
        </w:rPr>
        <w:t>3.4. Marco filosófico oficial</w:t>
      </w:r>
    </w:p>
    <w:p>
      <w:pPr>
        <w:jc w:val="both"/>
      </w:pPr>
      <w:r>
        <w:rPr>
          <w:rFonts w:ascii="Garamond" w:hAnsi="Garamond"/>
          <w:b w:val="0"/>
          <w:i/>
          <w:sz w:val="24"/>
        </w:rPr>
        <w:t>Acreditamos que o verdadeiro conhecimento de Deus transforma a mente pela verdade das Escrituras, o coração pela acção do Espírito Santo e a vida pelo compromisso de viver e anunciar o Evangelho de Jesus Cristo.</w:t>
      </w:r>
    </w:p>
    <w:p>
      <w:pPr>
        <w:keepNext/>
        <w:spacing w:before="360" w:after="120"/>
        <w:jc w:val="left"/>
        <w:pBdr>
          <w:bottom w:val="single" w:sz="6" w:space="1" w:color="1B3A5C"/>
        </w:pBdr>
      </w:pPr>
      <w:r>
        <w:rPr>
          <w:rFonts w:ascii="Garamond" w:hAnsi="Garamond"/>
          <w:b/>
          <w:color w:val="1B3A5C"/>
          <w:sz w:val="30"/>
        </w:rPr>
        <w:t>4. CAPÍTULO IV — VALORES INSTITUCIONAIS</w:t>
      </w:r>
    </w:p>
    <w:tbl>
      <w:tblPr>
        <w:tblW w:type="auto" w:w="0"/>
        <w:jc w:val="center"/>
        <w:tblLook w:firstColumn="1" w:firstRow="1" w:lastColumn="0" w:lastRow="0" w:noHBand="0" w:noVBand="1" w:val="04A0"/>
      </w:tblPr>
      <w:tblGrid>
        <w:gridCol w:w="4394"/>
        <w:gridCol w:w="4394"/>
      </w:tblGrid>
      <w:tr>
        <w:tc>
          <w:tcPr>
            <w:tcW w:type="dxa" w:w="4394"/>
            <w:shd w:val="clear" w:color="auto" w:fill="1B3A5C"/>
            <w:vAlign w:val="center"/>
          </w:tcPr>
          <w:p>
            <w:pPr>
              <w:jc w:val="center"/>
            </w:pPr>
            <w:r/>
            <w:r>
              <w:rPr>
                <w:rFonts w:ascii="Garamond" w:hAnsi="Garamond"/>
                <w:b/>
                <w:color w:val="FFFFFF"/>
                <w:sz w:val="18"/>
              </w:rPr>
              <w:t>Valor</w:t>
            </w:r>
          </w:p>
        </w:tc>
        <w:tc>
          <w:tcPr>
            <w:tcW w:type="dxa" w:w="4394"/>
            <w:shd w:val="clear" w:color="auto" w:fill="1B3A5C"/>
            <w:vAlign w:val="center"/>
          </w:tcPr>
          <w:p>
            <w:pPr>
              <w:jc w:val="center"/>
            </w:pPr>
            <w:r/>
            <w:r>
              <w:rPr>
                <w:rFonts w:ascii="Garamond" w:hAnsi="Garamond"/>
                <w:b/>
                <w:color w:val="FFFFFF"/>
                <w:sz w:val="18"/>
              </w:rPr>
              <w:t>Descrição</w:t>
            </w:r>
          </w:p>
        </w:tc>
      </w:tr>
      <w:tr>
        <w:tc>
          <w:tcPr>
            <w:tcW w:type="dxa" w:w="4394"/>
            <w:vAlign w:val="center"/>
          </w:tcPr>
          <w:p>
            <w:pPr>
              <w:jc w:val="left"/>
            </w:pPr>
            <w:r/>
            <w:r>
              <w:rPr>
                <w:rFonts w:ascii="Garamond" w:hAnsi="Garamond"/>
                <w:b/>
                <w:color w:val="1B3A5C"/>
                <w:sz w:val="19"/>
              </w:rPr>
              <w:t>Fidelidade bíblica</w:t>
            </w:r>
          </w:p>
        </w:tc>
        <w:tc>
          <w:tcPr>
            <w:tcW w:type="dxa" w:w="4394"/>
            <w:vAlign w:val="center"/>
          </w:tcPr>
          <w:p>
            <w:pPr>
              <w:jc w:val="left"/>
            </w:pPr>
            <w:r/>
            <w:r>
              <w:rPr>
                <w:rFonts w:ascii="Garamond" w:hAnsi="Garamond"/>
                <w:b w:val="0"/>
                <w:sz w:val="19"/>
              </w:rPr>
              <w:t>Toda formação deve nascer das Escrituras e regressar às Escrituras.</w:t>
            </w:r>
          </w:p>
        </w:tc>
      </w:tr>
      <w:tr>
        <w:tc>
          <w:tcPr>
            <w:tcW w:type="dxa" w:w="4394"/>
            <w:vAlign w:val="center"/>
          </w:tcPr>
          <w:p>
            <w:pPr>
              <w:jc w:val="left"/>
            </w:pPr>
            <w:r/>
            <w:r>
              <w:rPr>
                <w:rFonts w:ascii="Garamond" w:hAnsi="Garamond"/>
                <w:b/>
                <w:color w:val="1B3A5C"/>
                <w:sz w:val="19"/>
              </w:rPr>
              <w:t>Cristocentrismo</w:t>
            </w:r>
          </w:p>
        </w:tc>
        <w:tc>
          <w:tcPr>
            <w:tcW w:type="dxa" w:w="4394"/>
            <w:vAlign w:val="center"/>
          </w:tcPr>
          <w:p>
            <w:pPr>
              <w:jc w:val="left"/>
            </w:pPr>
            <w:r/>
            <w:r>
              <w:rPr>
                <w:rFonts w:ascii="Garamond" w:hAnsi="Garamond"/>
                <w:b w:val="0"/>
                <w:sz w:val="19"/>
              </w:rPr>
              <w:t>Cristo é o centro do ensino, da vida espiritual, da missão e da esperança cristã.</w:t>
            </w:r>
          </w:p>
        </w:tc>
      </w:tr>
      <w:tr>
        <w:tc>
          <w:tcPr>
            <w:tcW w:type="dxa" w:w="4394"/>
            <w:vAlign w:val="center"/>
          </w:tcPr>
          <w:p>
            <w:pPr>
              <w:jc w:val="left"/>
            </w:pPr>
            <w:r/>
            <w:r>
              <w:rPr>
                <w:rFonts w:ascii="Garamond" w:hAnsi="Garamond"/>
                <w:b/>
                <w:color w:val="1B3A5C"/>
                <w:sz w:val="19"/>
              </w:rPr>
              <w:t>Dependência do Espírito Santo</w:t>
            </w:r>
          </w:p>
        </w:tc>
        <w:tc>
          <w:tcPr>
            <w:tcW w:type="dxa" w:w="4394"/>
            <w:vAlign w:val="center"/>
          </w:tcPr>
          <w:p>
            <w:pPr>
              <w:jc w:val="left"/>
            </w:pPr>
            <w:r/>
            <w:r>
              <w:rPr>
                <w:rFonts w:ascii="Garamond" w:hAnsi="Garamond"/>
                <w:b w:val="0"/>
                <w:sz w:val="19"/>
              </w:rPr>
              <w:t>Sem o Espírito, o estudo torna-se letra sem vida; com o Espírito, a verdade transforma.</w:t>
            </w:r>
          </w:p>
        </w:tc>
      </w:tr>
      <w:tr>
        <w:tc>
          <w:tcPr>
            <w:tcW w:type="dxa" w:w="4394"/>
            <w:vAlign w:val="center"/>
          </w:tcPr>
          <w:p>
            <w:pPr>
              <w:jc w:val="left"/>
            </w:pPr>
            <w:r/>
            <w:r>
              <w:rPr>
                <w:rFonts w:ascii="Garamond" w:hAnsi="Garamond"/>
                <w:b/>
                <w:color w:val="1B3A5C"/>
                <w:sz w:val="19"/>
              </w:rPr>
              <w:t>Santidade prática</w:t>
            </w:r>
          </w:p>
        </w:tc>
        <w:tc>
          <w:tcPr>
            <w:tcW w:type="dxa" w:w="4394"/>
            <w:vAlign w:val="center"/>
          </w:tcPr>
          <w:p>
            <w:pPr>
              <w:jc w:val="left"/>
            </w:pPr>
            <w:r/>
            <w:r>
              <w:rPr>
                <w:rFonts w:ascii="Garamond" w:hAnsi="Garamond"/>
                <w:b w:val="0"/>
                <w:sz w:val="19"/>
              </w:rPr>
              <w:t>Conhecimento verdadeiro produz obediência, carácter e vida limpa diante de Deus.</w:t>
            </w:r>
          </w:p>
        </w:tc>
      </w:tr>
      <w:tr>
        <w:tc>
          <w:tcPr>
            <w:tcW w:type="dxa" w:w="4394"/>
            <w:vAlign w:val="center"/>
          </w:tcPr>
          <w:p>
            <w:pPr>
              <w:jc w:val="left"/>
            </w:pPr>
            <w:r/>
            <w:r>
              <w:rPr>
                <w:rFonts w:ascii="Garamond" w:hAnsi="Garamond"/>
                <w:b/>
                <w:color w:val="1B3A5C"/>
                <w:sz w:val="19"/>
              </w:rPr>
              <w:t>Excelência académica</w:t>
            </w:r>
          </w:p>
        </w:tc>
        <w:tc>
          <w:tcPr>
            <w:tcW w:type="dxa" w:w="4394"/>
            <w:vAlign w:val="center"/>
          </w:tcPr>
          <w:p>
            <w:pPr>
              <w:jc w:val="left"/>
            </w:pPr>
            <w:r/>
            <w:r>
              <w:rPr>
                <w:rFonts w:ascii="Garamond" w:hAnsi="Garamond"/>
                <w:b w:val="0"/>
                <w:sz w:val="19"/>
              </w:rPr>
              <w:t>O Reino merece estudo sério, boa escrita, método, revisão e rigor.</w:t>
            </w:r>
          </w:p>
        </w:tc>
      </w:tr>
      <w:tr>
        <w:tc>
          <w:tcPr>
            <w:tcW w:type="dxa" w:w="4394"/>
            <w:vAlign w:val="center"/>
          </w:tcPr>
          <w:p>
            <w:pPr>
              <w:jc w:val="left"/>
            </w:pPr>
            <w:r/>
            <w:r>
              <w:rPr>
                <w:rFonts w:ascii="Garamond" w:hAnsi="Garamond"/>
                <w:b/>
                <w:color w:val="1B3A5C"/>
                <w:sz w:val="19"/>
              </w:rPr>
              <w:t>Serviço humilde</w:t>
            </w:r>
          </w:p>
        </w:tc>
        <w:tc>
          <w:tcPr>
            <w:tcW w:type="dxa" w:w="4394"/>
            <w:vAlign w:val="center"/>
          </w:tcPr>
          <w:p>
            <w:pPr>
              <w:jc w:val="left"/>
            </w:pPr>
            <w:r/>
            <w:r>
              <w:rPr>
                <w:rFonts w:ascii="Garamond" w:hAnsi="Garamond"/>
                <w:b w:val="0"/>
                <w:sz w:val="19"/>
              </w:rPr>
              <w:t>Todo dom, conhecimento e título existem para servir, não para exaltar o homem.</w:t>
            </w:r>
          </w:p>
        </w:tc>
      </w:tr>
      <w:tr>
        <w:tc>
          <w:tcPr>
            <w:tcW w:type="dxa" w:w="4394"/>
            <w:vAlign w:val="center"/>
          </w:tcPr>
          <w:p>
            <w:pPr>
              <w:jc w:val="left"/>
            </w:pPr>
            <w:r/>
            <w:r>
              <w:rPr>
                <w:rFonts w:ascii="Garamond" w:hAnsi="Garamond"/>
                <w:b/>
                <w:color w:val="1B3A5C"/>
                <w:sz w:val="19"/>
              </w:rPr>
              <w:t>Unidade da Igreja</w:t>
            </w:r>
          </w:p>
        </w:tc>
        <w:tc>
          <w:tcPr>
            <w:tcW w:type="dxa" w:w="4394"/>
            <w:vAlign w:val="center"/>
          </w:tcPr>
          <w:p>
            <w:pPr>
              <w:jc w:val="left"/>
            </w:pPr>
            <w:r/>
            <w:r>
              <w:rPr>
                <w:rFonts w:ascii="Garamond" w:hAnsi="Garamond"/>
                <w:b w:val="0"/>
                <w:sz w:val="19"/>
              </w:rPr>
              <w:t>A EBE honra a diversidade denominacional dentro da fidelidade aos fundamentos da fé.</w:t>
            </w:r>
          </w:p>
        </w:tc>
      </w:tr>
      <w:tr>
        <w:tc>
          <w:tcPr>
            <w:tcW w:type="dxa" w:w="4394"/>
            <w:vAlign w:val="center"/>
          </w:tcPr>
          <w:p>
            <w:pPr>
              <w:jc w:val="left"/>
            </w:pPr>
            <w:r/>
            <w:r>
              <w:rPr>
                <w:rFonts w:ascii="Garamond" w:hAnsi="Garamond"/>
                <w:b/>
                <w:color w:val="1B3A5C"/>
                <w:sz w:val="19"/>
              </w:rPr>
              <w:t>Missão e multiplicação</w:t>
            </w:r>
          </w:p>
        </w:tc>
        <w:tc>
          <w:tcPr>
            <w:tcW w:type="dxa" w:w="4394"/>
            <w:vAlign w:val="center"/>
          </w:tcPr>
          <w:p>
            <w:pPr>
              <w:jc w:val="left"/>
            </w:pPr>
            <w:r/>
            <w:r>
              <w:rPr>
                <w:rFonts w:ascii="Garamond" w:hAnsi="Garamond"/>
                <w:b w:val="0"/>
                <w:sz w:val="19"/>
              </w:rPr>
              <w:t>Todo aluno é formado para frutificar, discipular e multiplicar o que recebeu.</w:t>
            </w:r>
          </w:p>
        </w:tc>
      </w:tr>
    </w:tbl>
    <w:p>
      <w:pPr>
        <w:keepNext/>
        <w:spacing w:before="360" w:after="120"/>
        <w:jc w:val="left"/>
        <w:pBdr>
          <w:bottom w:val="single" w:sz="6" w:space="1" w:color="1B3A5C"/>
        </w:pBdr>
      </w:pPr>
      <w:r>
        <w:rPr>
          <w:rFonts w:ascii="Garamond" w:hAnsi="Garamond"/>
          <w:b/>
          <w:color w:val="1B3A5C"/>
          <w:sz w:val="30"/>
        </w:rPr>
        <w:t>5. CAPÍTULO V — DECLARAÇÃO DOUTRINÁRIA SINTÉTICA</w:t>
      </w:r>
    </w:p>
    <w:p>
      <w:pPr>
        <w:jc w:val="both"/>
      </w:pPr>
      <w:r>
        <w:rPr>
          <w:rFonts w:ascii="Garamond" w:hAnsi="Garamond"/>
          <w:b w:val="0"/>
          <w:i w:val="0"/>
          <w:sz w:val="24"/>
        </w:rPr>
        <w:t>A identidade doutrinária completa da EBE está formalmente definida na Declaração de Fé Institucional (EBE-DOC-002). Este Compêndio apresenta a síntese orientadora dos seus principais eixos confessionais.</w:t>
      </w:r>
    </w:p>
    <w:tbl>
      <w:tblPr>
        <w:tblW w:type="auto" w:w="0"/>
        <w:jc w:val="center"/>
        <w:tblLook w:firstColumn="1" w:firstRow="1" w:lastColumn="0" w:lastRow="0" w:noHBand="0" w:noVBand="1" w:val="04A0"/>
      </w:tblPr>
      <w:tblGrid>
        <w:gridCol w:w="4394"/>
        <w:gridCol w:w="4394"/>
      </w:tblGrid>
      <w:tr>
        <w:tc>
          <w:tcPr>
            <w:tcW w:type="dxa" w:w="4394"/>
            <w:shd w:val="clear" w:color="auto" w:fill="1B3A5C"/>
            <w:vAlign w:val="center"/>
          </w:tcPr>
          <w:p>
            <w:pPr>
              <w:jc w:val="center"/>
            </w:pPr>
            <w:r/>
            <w:r>
              <w:rPr>
                <w:rFonts w:ascii="Garamond" w:hAnsi="Garamond"/>
                <w:b/>
                <w:color w:val="FFFFFF"/>
                <w:sz w:val="18"/>
              </w:rPr>
              <w:t>Doutrina</w:t>
            </w:r>
          </w:p>
        </w:tc>
        <w:tc>
          <w:tcPr>
            <w:tcW w:type="dxa" w:w="4394"/>
            <w:shd w:val="clear" w:color="auto" w:fill="1B3A5C"/>
            <w:vAlign w:val="center"/>
          </w:tcPr>
          <w:p>
            <w:pPr>
              <w:jc w:val="center"/>
            </w:pPr>
            <w:r/>
            <w:r>
              <w:rPr>
                <w:rFonts w:ascii="Garamond" w:hAnsi="Garamond"/>
                <w:b/>
                <w:color w:val="FFFFFF"/>
                <w:sz w:val="18"/>
              </w:rPr>
              <w:t>Síntese</w:t>
            </w:r>
          </w:p>
        </w:tc>
      </w:tr>
      <w:tr>
        <w:tc>
          <w:tcPr>
            <w:tcW w:type="dxa" w:w="4394"/>
            <w:vAlign w:val="center"/>
          </w:tcPr>
          <w:p>
            <w:pPr>
              <w:jc w:val="left"/>
            </w:pPr>
            <w:r/>
            <w:r>
              <w:rPr>
                <w:rFonts w:ascii="Garamond" w:hAnsi="Garamond"/>
                <w:b/>
                <w:color w:val="1B3A5C"/>
                <w:sz w:val="18"/>
              </w:rPr>
              <w:t>Escrituras</w:t>
            </w:r>
          </w:p>
        </w:tc>
        <w:tc>
          <w:tcPr>
            <w:tcW w:type="dxa" w:w="4394"/>
            <w:vAlign w:val="center"/>
          </w:tcPr>
          <w:p>
            <w:pPr>
              <w:jc w:val="left"/>
            </w:pPr>
            <w:r/>
            <w:r>
              <w:rPr>
                <w:rFonts w:ascii="Garamond" w:hAnsi="Garamond"/>
                <w:b w:val="0"/>
                <w:sz w:val="18"/>
              </w:rPr>
              <w:t>Cremos na inspiração divina, autoridade, suficiência e veracidade das Sagradas Escrituras.</w:t>
            </w:r>
          </w:p>
        </w:tc>
      </w:tr>
      <w:tr>
        <w:tc>
          <w:tcPr>
            <w:tcW w:type="dxa" w:w="4394"/>
            <w:vAlign w:val="center"/>
          </w:tcPr>
          <w:p>
            <w:pPr>
              <w:jc w:val="left"/>
            </w:pPr>
            <w:r/>
            <w:r>
              <w:rPr>
                <w:rFonts w:ascii="Garamond" w:hAnsi="Garamond"/>
                <w:b/>
                <w:color w:val="1B3A5C"/>
                <w:sz w:val="18"/>
              </w:rPr>
              <w:t>Deus Triúno</w:t>
            </w:r>
          </w:p>
        </w:tc>
        <w:tc>
          <w:tcPr>
            <w:tcW w:type="dxa" w:w="4394"/>
            <w:vAlign w:val="center"/>
          </w:tcPr>
          <w:p>
            <w:pPr>
              <w:jc w:val="left"/>
            </w:pPr>
            <w:r/>
            <w:r>
              <w:rPr>
                <w:rFonts w:ascii="Garamond" w:hAnsi="Garamond"/>
                <w:b w:val="0"/>
                <w:sz w:val="18"/>
              </w:rPr>
              <w:t>Cremos em um só Deus, eternamente existente em três pessoas: Pai, Filho e Espírito Santo.</w:t>
            </w:r>
          </w:p>
        </w:tc>
      </w:tr>
      <w:tr>
        <w:tc>
          <w:tcPr>
            <w:tcW w:type="dxa" w:w="4394"/>
            <w:vAlign w:val="center"/>
          </w:tcPr>
          <w:p>
            <w:pPr>
              <w:jc w:val="left"/>
            </w:pPr>
            <w:r/>
            <w:r>
              <w:rPr>
                <w:rFonts w:ascii="Garamond" w:hAnsi="Garamond"/>
                <w:b/>
                <w:color w:val="1B3A5C"/>
                <w:sz w:val="18"/>
              </w:rPr>
              <w:t>Jesus Cristo</w:t>
            </w:r>
          </w:p>
        </w:tc>
        <w:tc>
          <w:tcPr>
            <w:tcW w:type="dxa" w:w="4394"/>
            <w:vAlign w:val="center"/>
          </w:tcPr>
          <w:p>
            <w:pPr>
              <w:jc w:val="left"/>
            </w:pPr>
            <w:r/>
            <w:r>
              <w:rPr>
                <w:rFonts w:ascii="Garamond" w:hAnsi="Garamond"/>
                <w:b w:val="0"/>
                <w:sz w:val="18"/>
              </w:rPr>
              <w:t>Cremos na divindade, humanidade, morte expiatória, ressurreição corporal, ascensão e retorno glorioso de Cristo.</w:t>
            </w:r>
          </w:p>
        </w:tc>
      </w:tr>
      <w:tr>
        <w:tc>
          <w:tcPr>
            <w:tcW w:type="dxa" w:w="4394"/>
            <w:vAlign w:val="center"/>
          </w:tcPr>
          <w:p>
            <w:pPr>
              <w:jc w:val="left"/>
            </w:pPr>
            <w:r/>
            <w:r>
              <w:rPr>
                <w:rFonts w:ascii="Garamond" w:hAnsi="Garamond"/>
                <w:b/>
                <w:color w:val="1B3A5C"/>
                <w:sz w:val="18"/>
              </w:rPr>
              <w:t>Espírito Santo</w:t>
            </w:r>
          </w:p>
        </w:tc>
        <w:tc>
          <w:tcPr>
            <w:tcW w:type="dxa" w:w="4394"/>
            <w:vAlign w:val="center"/>
          </w:tcPr>
          <w:p>
            <w:pPr>
              <w:jc w:val="left"/>
            </w:pPr>
            <w:r/>
            <w:r>
              <w:rPr>
                <w:rFonts w:ascii="Garamond" w:hAnsi="Garamond"/>
                <w:b w:val="0"/>
                <w:sz w:val="18"/>
              </w:rPr>
              <w:t>Cremos na pessoa e obra do Espírito Santo, que convence, regenera, santifica, capacita e guia a Igreja.</w:t>
            </w:r>
          </w:p>
        </w:tc>
      </w:tr>
      <w:tr>
        <w:tc>
          <w:tcPr>
            <w:tcW w:type="dxa" w:w="4394"/>
            <w:vAlign w:val="center"/>
          </w:tcPr>
          <w:p>
            <w:pPr>
              <w:jc w:val="left"/>
            </w:pPr>
            <w:r/>
            <w:r>
              <w:rPr>
                <w:rFonts w:ascii="Garamond" w:hAnsi="Garamond"/>
                <w:b/>
                <w:color w:val="1B3A5C"/>
                <w:sz w:val="18"/>
              </w:rPr>
              <w:t>Ser humano e pecado</w:t>
            </w:r>
          </w:p>
        </w:tc>
        <w:tc>
          <w:tcPr>
            <w:tcW w:type="dxa" w:w="4394"/>
            <w:vAlign w:val="center"/>
          </w:tcPr>
          <w:p>
            <w:pPr>
              <w:jc w:val="left"/>
            </w:pPr>
            <w:r/>
            <w:r>
              <w:rPr>
                <w:rFonts w:ascii="Garamond" w:hAnsi="Garamond"/>
                <w:b w:val="0"/>
                <w:sz w:val="18"/>
              </w:rPr>
              <w:t>Cremos que o ser humano foi criado à imagem de Deus, caiu em pecado e necessita de redenção.</w:t>
            </w:r>
          </w:p>
        </w:tc>
      </w:tr>
      <w:tr>
        <w:tc>
          <w:tcPr>
            <w:tcW w:type="dxa" w:w="4394"/>
            <w:vAlign w:val="center"/>
          </w:tcPr>
          <w:p>
            <w:pPr>
              <w:jc w:val="left"/>
            </w:pPr>
            <w:r/>
            <w:r>
              <w:rPr>
                <w:rFonts w:ascii="Garamond" w:hAnsi="Garamond"/>
                <w:b/>
                <w:color w:val="1B3A5C"/>
                <w:sz w:val="18"/>
              </w:rPr>
              <w:t>Salvação</w:t>
            </w:r>
          </w:p>
        </w:tc>
        <w:tc>
          <w:tcPr>
            <w:tcW w:type="dxa" w:w="4394"/>
            <w:vAlign w:val="center"/>
          </w:tcPr>
          <w:p>
            <w:pPr>
              <w:jc w:val="left"/>
            </w:pPr>
            <w:r/>
            <w:r>
              <w:rPr>
                <w:rFonts w:ascii="Garamond" w:hAnsi="Garamond"/>
                <w:b w:val="0"/>
                <w:sz w:val="18"/>
              </w:rPr>
              <w:t>Cremos na salvação pela graça, mediante a fé em Jesus Cristo, com frutos de arrependimento e nova vida.</w:t>
            </w:r>
          </w:p>
        </w:tc>
      </w:tr>
      <w:tr>
        <w:tc>
          <w:tcPr>
            <w:tcW w:type="dxa" w:w="4394"/>
            <w:vAlign w:val="center"/>
          </w:tcPr>
          <w:p>
            <w:pPr>
              <w:jc w:val="left"/>
            </w:pPr>
            <w:r/>
            <w:r>
              <w:rPr>
                <w:rFonts w:ascii="Garamond" w:hAnsi="Garamond"/>
                <w:b/>
                <w:color w:val="1B3A5C"/>
                <w:sz w:val="18"/>
              </w:rPr>
              <w:t>Igreja</w:t>
            </w:r>
          </w:p>
        </w:tc>
        <w:tc>
          <w:tcPr>
            <w:tcW w:type="dxa" w:w="4394"/>
            <w:vAlign w:val="center"/>
          </w:tcPr>
          <w:p>
            <w:pPr>
              <w:jc w:val="left"/>
            </w:pPr>
            <w:r/>
            <w:r>
              <w:rPr>
                <w:rFonts w:ascii="Garamond" w:hAnsi="Garamond"/>
                <w:b w:val="0"/>
                <w:sz w:val="18"/>
              </w:rPr>
              <w:t>Cremos na Igreja como Corpo de Cristo, chamada à adoração, comunhão, discipulado, serviço e missão.</w:t>
            </w:r>
          </w:p>
        </w:tc>
      </w:tr>
      <w:tr>
        <w:tc>
          <w:tcPr>
            <w:tcW w:type="dxa" w:w="4394"/>
            <w:vAlign w:val="center"/>
          </w:tcPr>
          <w:p>
            <w:pPr>
              <w:jc w:val="left"/>
            </w:pPr>
            <w:r/>
            <w:r>
              <w:rPr>
                <w:rFonts w:ascii="Garamond" w:hAnsi="Garamond"/>
                <w:b/>
                <w:color w:val="1B3A5C"/>
                <w:sz w:val="18"/>
              </w:rPr>
              <w:t>Baptismo e Ceia</w:t>
            </w:r>
          </w:p>
        </w:tc>
        <w:tc>
          <w:tcPr>
            <w:tcW w:type="dxa" w:w="4394"/>
            <w:vAlign w:val="center"/>
          </w:tcPr>
          <w:p>
            <w:pPr>
              <w:jc w:val="left"/>
            </w:pPr>
            <w:r/>
            <w:r>
              <w:rPr>
                <w:rFonts w:ascii="Garamond" w:hAnsi="Garamond"/>
                <w:b w:val="0"/>
                <w:sz w:val="18"/>
              </w:rPr>
              <w:t>Cremos nas ordenanças instituídas por Cristo, praticadas com reverência e fidelidade bíblica.</w:t>
            </w:r>
          </w:p>
        </w:tc>
      </w:tr>
      <w:tr>
        <w:tc>
          <w:tcPr>
            <w:tcW w:type="dxa" w:w="4394"/>
            <w:vAlign w:val="center"/>
          </w:tcPr>
          <w:p>
            <w:pPr>
              <w:jc w:val="left"/>
            </w:pPr>
            <w:r/>
            <w:r>
              <w:rPr>
                <w:rFonts w:ascii="Garamond" w:hAnsi="Garamond"/>
                <w:b/>
                <w:color w:val="1B3A5C"/>
                <w:sz w:val="18"/>
              </w:rPr>
              <w:t>Vida cristã</w:t>
            </w:r>
          </w:p>
        </w:tc>
        <w:tc>
          <w:tcPr>
            <w:tcW w:type="dxa" w:w="4394"/>
            <w:vAlign w:val="center"/>
          </w:tcPr>
          <w:p>
            <w:pPr>
              <w:jc w:val="left"/>
            </w:pPr>
            <w:r/>
            <w:r>
              <w:rPr>
                <w:rFonts w:ascii="Garamond" w:hAnsi="Garamond"/>
                <w:b w:val="0"/>
                <w:sz w:val="18"/>
              </w:rPr>
              <w:t>Cremos na santificação, no testemunho, na oração, na vida devocional e na prática do amor.</w:t>
            </w:r>
          </w:p>
        </w:tc>
      </w:tr>
      <w:tr>
        <w:tc>
          <w:tcPr>
            <w:tcW w:type="dxa" w:w="4394"/>
            <w:vAlign w:val="center"/>
          </w:tcPr>
          <w:p>
            <w:pPr>
              <w:jc w:val="left"/>
            </w:pPr>
            <w:r/>
            <w:r>
              <w:rPr>
                <w:rFonts w:ascii="Garamond" w:hAnsi="Garamond"/>
                <w:b/>
                <w:color w:val="1B3A5C"/>
                <w:sz w:val="18"/>
              </w:rPr>
              <w:t>Últimas coisas</w:t>
            </w:r>
          </w:p>
        </w:tc>
        <w:tc>
          <w:tcPr>
            <w:tcW w:type="dxa" w:w="4394"/>
            <w:vAlign w:val="center"/>
          </w:tcPr>
          <w:p>
            <w:pPr>
              <w:jc w:val="left"/>
            </w:pPr>
            <w:r/>
            <w:r>
              <w:rPr>
                <w:rFonts w:ascii="Garamond" w:hAnsi="Garamond"/>
                <w:b w:val="0"/>
                <w:sz w:val="18"/>
              </w:rPr>
              <w:t>Cremos no retorno de Cristo, na ressurreição, no juízo final e na consumação do Reino de Deus.</w:t>
            </w:r>
          </w:p>
        </w:tc>
      </w:tr>
    </w:tbl>
    <w:p>
      <w:pPr>
        <w:spacing w:before="120" w:after="120"/>
        <w:ind w:left="850" w:right="567"/>
        <w:jc w:val="both"/>
      </w:pPr>
      <w:r>
        <w:rPr>
          <w:rFonts w:ascii="Garamond" w:hAnsi="Garamond"/>
          <w:i/>
          <w:color w:val="555555"/>
          <w:sz w:val="22"/>
        </w:rPr>
        <w:t>“Tem cuidado de ti mesmo e da doutrina. Persevera nestes deveres; porque, fazendo isto, te salvarás, tanto a ti mesmo como aos que te ouvem.”</w:t>
      </w:r>
      <w:r>
        <w:rPr>
          <w:rFonts w:ascii="Garamond" w:hAnsi="Garamond"/>
          <w:i/>
          <w:color w:val="2E7D4F"/>
          <w:sz w:val="20"/>
        </w:rPr>
        <w:t xml:space="preserve">  (1 Timóteo 4.16, ARC)</w:t>
      </w:r>
    </w:p>
    <w:p>
      <w:r>
        <w:br w:type="page"/>
      </w:r>
    </w:p>
    <w:p>
      <w:pPr>
        <w:keepNext/>
        <w:spacing w:before="360" w:after="120"/>
        <w:jc w:val="left"/>
        <w:pBdr>
          <w:bottom w:val="single" w:sz="6" w:space="1" w:color="1B3A5C"/>
        </w:pBdr>
      </w:pPr>
      <w:r>
        <w:rPr>
          <w:rFonts w:ascii="Garamond" w:hAnsi="Garamond"/>
          <w:b/>
          <w:color w:val="1B3A5C"/>
          <w:sz w:val="30"/>
        </w:rPr>
        <w:t>6. CAPÍTULO VI — IDENTIDADE PEDAGÓGICA</w:t>
      </w:r>
    </w:p>
    <w:p>
      <w:pPr>
        <w:keepNext/>
        <w:spacing w:before="240" w:after="80"/>
      </w:pPr>
      <w:r>
        <w:rPr>
          <w:rFonts w:ascii="Garamond" w:hAnsi="Garamond"/>
          <w:b/>
          <w:color w:val="1B3A5C"/>
          <w:sz w:val="26"/>
        </w:rPr>
        <w:t>6.1. O objectivo pedagógico maior</w:t>
      </w:r>
    </w:p>
    <w:p>
      <w:pPr>
        <w:jc w:val="both"/>
      </w:pPr>
      <w:r>
        <w:rPr>
          <w:rFonts w:ascii="Garamond" w:hAnsi="Garamond"/>
          <w:b w:val="0"/>
          <w:i w:val="0"/>
          <w:sz w:val="24"/>
        </w:rPr>
        <w:t>A pedagogia Epignósis procura formar discípulos integrais, capazes de conhecer biblicamente, crer doutrinariamente, viver coerentemente e servir frutiferamente. O processo educativo não visa apenas certificação, mas transformação.</w:t>
      </w:r>
    </w:p>
    <w:p>
      <w:pPr>
        <w:keepNext/>
        <w:spacing w:before="240" w:after="80"/>
      </w:pPr>
      <w:r>
        <w:rPr>
          <w:rFonts w:ascii="Garamond" w:hAnsi="Garamond"/>
          <w:b/>
          <w:color w:val="1B3A5C"/>
          <w:sz w:val="26"/>
        </w:rPr>
        <w:t>6.2. Os quatro eixos pedagógicos</w:t>
      </w:r>
    </w:p>
    <w:tbl>
      <w:tblPr>
        <w:tblW w:type="auto" w:w="0"/>
        <w:jc w:val="center"/>
        <w:tblLook w:firstColumn="1" w:firstRow="1" w:lastColumn="0" w:lastRow="0" w:noHBand="0" w:noVBand="1" w:val="04A0"/>
      </w:tblPr>
      <w:tblGrid>
        <w:gridCol w:w="2197"/>
        <w:gridCol w:w="2197"/>
        <w:gridCol w:w="2197"/>
        <w:gridCol w:w="2197"/>
      </w:tblGrid>
      <w:tr>
        <w:tc>
          <w:tcPr>
            <w:tcW w:type="dxa" w:w="2197"/>
            <w:shd w:val="clear" w:color="auto" w:fill="1B3A5C"/>
            <w:vAlign w:val="center"/>
          </w:tcPr>
          <w:p>
            <w:pPr>
              <w:jc w:val="center"/>
            </w:pPr>
            <w:r/>
            <w:r>
              <w:rPr>
                <w:rFonts w:ascii="Garamond" w:hAnsi="Garamond"/>
                <w:b/>
                <w:color w:val="FFFFFF"/>
                <w:sz w:val="18"/>
              </w:rPr>
              <w:t>Eixo</w:t>
            </w:r>
          </w:p>
        </w:tc>
        <w:tc>
          <w:tcPr>
            <w:tcW w:type="dxa" w:w="2197"/>
            <w:shd w:val="clear" w:color="auto" w:fill="1B3A5C"/>
            <w:vAlign w:val="center"/>
          </w:tcPr>
          <w:p>
            <w:pPr>
              <w:jc w:val="center"/>
            </w:pPr>
            <w:r/>
            <w:r>
              <w:rPr>
                <w:rFonts w:ascii="Garamond" w:hAnsi="Garamond"/>
                <w:b/>
                <w:color w:val="FFFFFF"/>
                <w:sz w:val="18"/>
              </w:rPr>
              <w:t>Ênfase</w:t>
            </w:r>
          </w:p>
        </w:tc>
        <w:tc>
          <w:tcPr>
            <w:tcW w:type="dxa" w:w="2197"/>
            <w:shd w:val="clear" w:color="auto" w:fill="1B3A5C"/>
            <w:vAlign w:val="center"/>
          </w:tcPr>
          <w:p>
            <w:pPr>
              <w:jc w:val="center"/>
            </w:pPr>
            <w:r/>
            <w:r>
              <w:rPr>
                <w:rFonts w:ascii="Garamond" w:hAnsi="Garamond"/>
                <w:b/>
                <w:color w:val="FFFFFF"/>
                <w:sz w:val="18"/>
              </w:rPr>
              <w:t>Pergunta formativa</w:t>
            </w:r>
          </w:p>
        </w:tc>
        <w:tc>
          <w:tcPr>
            <w:tcW w:type="dxa" w:w="2197"/>
            <w:shd w:val="clear" w:color="auto" w:fill="1B3A5C"/>
            <w:vAlign w:val="center"/>
          </w:tcPr>
          <w:p>
            <w:pPr>
              <w:jc w:val="center"/>
            </w:pPr>
            <w:r/>
            <w:r>
              <w:rPr>
                <w:rFonts w:ascii="Garamond" w:hAnsi="Garamond"/>
                <w:b/>
                <w:color w:val="FFFFFF"/>
                <w:sz w:val="18"/>
              </w:rPr>
              <w:t>Peso avaliativo</w:t>
            </w:r>
          </w:p>
        </w:tc>
      </w:tr>
      <w:tr>
        <w:tc>
          <w:tcPr>
            <w:tcW w:type="dxa" w:w="2197"/>
            <w:vAlign w:val="center"/>
          </w:tcPr>
          <w:p>
            <w:pPr>
              <w:jc w:val="center"/>
            </w:pPr>
            <w:r/>
            <w:r>
              <w:rPr>
                <w:rFonts w:ascii="Garamond" w:hAnsi="Garamond"/>
                <w:b w:val="0"/>
                <w:sz w:val="18"/>
              </w:rPr>
              <w:t>Conhecer</w:t>
            </w:r>
          </w:p>
        </w:tc>
        <w:tc>
          <w:tcPr>
            <w:tcW w:type="dxa" w:w="2197"/>
            <w:vAlign w:val="center"/>
          </w:tcPr>
          <w:p>
            <w:pPr>
              <w:jc w:val="left"/>
            </w:pPr>
            <w:r/>
            <w:r>
              <w:rPr>
                <w:rFonts w:ascii="Garamond" w:hAnsi="Garamond"/>
                <w:b w:val="0"/>
                <w:sz w:val="18"/>
              </w:rPr>
              <w:t>Verdade bíblica e compreensão doutrinária.</w:t>
            </w:r>
          </w:p>
        </w:tc>
        <w:tc>
          <w:tcPr>
            <w:tcW w:type="dxa" w:w="2197"/>
            <w:vAlign w:val="center"/>
          </w:tcPr>
          <w:p>
            <w:pPr>
              <w:jc w:val="left"/>
            </w:pPr>
            <w:r/>
            <w:r>
              <w:rPr>
                <w:rFonts w:ascii="Garamond" w:hAnsi="Garamond"/>
                <w:b w:val="0"/>
                <w:sz w:val="18"/>
              </w:rPr>
              <w:t>O aluno compreendeu fielmente?</w:t>
            </w:r>
          </w:p>
        </w:tc>
        <w:tc>
          <w:tcPr>
            <w:tcW w:type="dxa" w:w="2197"/>
            <w:vAlign w:val="center"/>
          </w:tcPr>
          <w:p>
            <w:pPr>
              <w:jc w:val="center"/>
            </w:pPr>
            <w:r/>
            <w:r>
              <w:rPr>
                <w:rFonts w:ascii="Garamond" w:hAnsi="Garamond"/>
                <w:b w:val="0"/>
                <w:sz w:val="18"/>
              </w:rPr>
              <w:t>40 %</w:t>
            </w:r>
          </w:p>
        </w:tc>
      </w:tr>
      <w:tr>
        <w:tc>
          <w:tcPr>
            <w:tcW w:type="dxa" w:w="2197"/>
            <w:vAlign w:val="center"/>
          </w:tcPr>
          <w:p>
            <w:pPr>
              <w:jc w:val="center"/>
            </w:pPr>
            <w:r/>
            <w:r>
              <w:rPr>
                <w:rFonts w:ascii="Garamond" w:hAnsi="Garamond"/>
                <w:b w:val="0"/>
                <w:sz w:val="18"/>
              </w:rPr>
              <w:t>Crer</w:t>
            </w:r>
          </w:p>
        </w:tc>
        <w:tc>
          <w:tcPr>
            <w:tcW w:type="dxa" w:w="2197"/>
            <w:vAlign w:val="center"/>
          </w:tcPr>
          <w:p>
            <w:pPr>
              <w:jc w:val="left"/>
            </w:pPr>
            <w:r/>
            <w:r>
              <w:rPr>
                <w:rFonts w:ascii="Garamond" w:hAnsi="Garamond"/>
                <w:b w:val="0"/>
                <w:sz w:val="18"/>
              </w:rPr>
              <w:t>Convicção, fé e adesão à verdade.</w:t>
            </w:r>
          </w:p>
        </w:tc>
        <w:tc>
          <w:tcPr>
            <w:tcW w:type="dxa" w:w="2197"/>
            <w:vAlign w:val="center"/>
          </w:tcPr>
          <w:p>
            <w:pPr>
              <w:jc w:val="left"/>
            </w:pPr>
            <w:r/>
            <w:r>
              <w:rPr>
                <w:rFonts w:ascii="Garamond" w:hAnsi="Garamond"/>
                <w:b w:val="0"/>
                <w:sz w:val="18"/>
              </w:rPr>
              <w:t>O aluno crê e confessa com coerência?</w:t>
            </w:r>
          </w:p>
        </w:tc>
        <w:tc>
          <w:tcPr>
            <w:tcW w:type="dxa" w:w="2197"/>
            <w:vAlign w:val="center"/>
          </w:tcPr>
          <w:p>
            <w:pPr>
              <w:jc w:val="center"/>
            </w:pPr>
            <w:r/>
            <w:r>
              <w:rPr>
                <w:rFonts w:ascii="Garamond" w:hAnsi="Garamond"/>
                <w:b w:val="0"/>
                <w:sz w:val="18"/>
              </w:rPr>
              <w:t>20 %</w:t>
            </w:r>
          </w:p>
        </w:tc>
      </w:tr>
      <w:tr>
        <w:tc>
          <w:tcPr>
            <w:tcW w:type="dxa" w:w="2197"/>
            <w:vAlign w:val="center"/>
          </w:tcPr>
          <w:p>
            <w:pPr>
              <w:jc w:val="center"/>
            </w:pPr>
            <w:r/>
            <w:r>
              <w:rPr>
                <w:rFonts w:ascii="Garamond" w:hAnsi="Garamond"/>
                <w:b w:val="0"/>
                <w:sz w:val="18"/>
              </w:rPr>
              <w:t>Viver</w:t>
            </w:r>
          </w:p>
        </w:tc>
        <w:tc>
          <w:tcPr>
            <w:tcW w:type="dxa" w:w="2197"/>
            <w:vAlign w:val="center"/>
          </w:tcPr>
          <w:p>
            <w:pPr>
              <w:jc w:val="left"/>
            </w:pPr>
            <w:r/>
            <w:r>
              <w:rPr>
                <w:rFonts w:ascii="Garamond" w:hAnsi="Garamond"/>
                <w:b w:val="0"/>
                <w:sz w:val="18"/>
              </w:rPr>
              <w:t>Carácter, santidade e prática quotidiana.</w:t>
            </w:r>
          </w:p>
        </w:tc>
        <w:tc>
          <w:tcPr>
            <w:tcW w:type="dxa" w:w="2197"/>
            <w:vAlign w:val="center"/>
          </w:tcPr>
          <w:p>
            <w:pPr>
              <w:jc w:val="left"/>
            </w:pPr>
            <w:r/>
            <w:r>
              <w:rPr>
                <w:rFonts w:ascii="Garamond" w:hAnsi="Garamond"/>
                <w:b w:val="0"/>
                <w:sz w:val="18"/>
              </w:rPr>
              <w:t>O aluno vive o que aprende?</w:t>
            </w:r>
          </w:p>
        </w:tc>
        <w:tc>
          <w:tcPr>
            <w:tcW w:type="dxa" w:w="2197"/>
            <w:vAlign w:val="center"/>
          </w:tcPr>
          <w:p>
            <w:pPr>
              <w:jc w:val="center"/>
            </w:pPr>
            <w:r/>
            <w:r>
              <w:rPr>
                <w:rFonts w:ascii="Garamond" w:hAnsi="Garamond"/>
                <w:b w:val="0"/>
                <w:sz w:val="18"/>
              </w:rPr>
              <w:t>20 %</w:t>
            </w:r>
          </w:p>
        </w:tc>
      </w:tr>
      <w:tr>
        <w:tc>
          <w:tcPr>
            <w:tcW w:type="dxa" w:w="2197"/>
            <w:vAlign w:val="center"/>
          </w:tcPr>
          <w:p>
            <w:pPr>
              <w:jc w:val="center"/>
            </w:pPr>
            <w:r/>
            <w:r>
              <w:rPr>
                <w:rFonts w:ascii="Garamond" w:hAnsi="Garamond"/>
                <w:b w:val="0"/>
                <w:sz w:val="18"/>
              </w:rPr>
              <w:t>Servir</w:t>
            </w:r>
          </w:p>
        </w:tc>
        <w:tc>
          <w:tcPr>
            <w:tcW w:type="dxa" w:w="2197"/>
            <w:vAlign w:val="center"/>
          </w:tcPr>
          <w:p>
            <w:pPr>
              <w:jc w:val="left"/>
            </w:pPr>
            <w:r/>
            <w:r>
              <w:rPr>
                <w:rFonts w:ascii="Garamond" w:hAnsi="Garamond"/>
                <w:b w:val="0"/>
                <w:sz w:val="18"/>
              </w:rPr>
              <w:t>Dons, missão e ministério.</w:t>
            </w:r>
          </w:p>
        </w:tc>
        <w:tc>
          <w:tcPr>
            <w:tcW w:type="dxa" w:w="2197"/>
            <w:vAlign w:val="center"/>
          </w:tcPr>
          <w:p>
            <w:pPr>
              <w:jc w:val="left"/>
            </w:pPr>
            <w:r/>
            <w:r>
              <w:rPr>
                <w:rFonts w:ascii="Garamond" w:hAnsi="Garamond"/>
                <w:b w:val="0"/>
                <w:sz w:val="18"/>
              </w:rPr>
              <w:t>O aluno coloca o aprendido a serviço do Reino?</w:t>
            </w:r>
          </w:p>
        </w:tc>
        <w:tc>
          <w:tcPr>
            <w:tcW w:type="dxa" w:w="2197"/>
            <w:vAlign w:val="center"/>
          </w:tcPr>
          <w:p>
            <w:pPr>
              <w:jc w:val="center"/>
            </w:pPr>
            <w:r/>
            <w:r>
              <w:rPr>
                <w:rFonts w:ascii="Garamond" w:hAnsi="Garamond"/>
                <w:b w:val="0"/>
                <w:sz w:val="18"/>
              </w:rPr>
              <w:t>20 %</w:t>
            </w:r>
          </w:p>
        </w:tc>
      </w:tr>
    </w:tbl>
    <w:p>
      <w:pPr>
        <w:keepNext/>
        <w:spacing w:before="240" w:after="80"/>
      </w:pPr>
      <w:r>
        <w:rPr>
          <w:rFonts w:ascii="Garamond" w:hAnsi="Garamond"/>
          <w:b/>
          <w:color w:val="1B3A5C"/>
          <w:sz w:val="26"/>
        </w:rPr>
        <w:t>6.3. Método Epignósis de estudo</w:t>
      </w:r>
    </w:p>
    <w:p>
      <w:pPr>
        <w:spacing w:after="40"/>
        <w:ind w:left="454" w:hanging="283"/>
        <w:jc w:val="both"/>
      </w:pPr>
      <w:r>
        <w:rPr>
          <w:rFonts w:ascii="Garamond" w:hAnsi="Garamond"/>
          <w:b/>
          <w:color w:val="2E7D4F"/>
          <w:sz w:val="24"/>
        </w:rPr>
        <w:t xml:space="preserve">1. </w:t>
      </w:r>
      <w:r>
        <w:rPr>
          <w:rFonts w:ascii="Garamond" w:hAnsi="Garamond"/>
          <w:sz w:val="24"/>
        </w:rPr>
        <w:t>ORAR — pedir iluminação ao Espírito Santo.</w:t>
      </w:r>
    </w:p>
    <w:p>
      <w:pPr>
        <w:spacing w:after="40"/>
        <w:ind w:left="454" w:hanging="283"/>
        <w:jc w:val="both"/>
      </w:pPr>
      <w:r>
        <w:rPr>
          <w:rFonts w:ascii="Garamond" w:hAnsi="Garamond"/>
          <w:b/>
          <w:color w:val="2E7D4F"/>
          <w:sz w:val="24"/>
        </w:rPr>
        <w:t xml:space="preserve">2. </w:t>
      </w:r>
      <w:r>
        <w:rPr>
          <w:rFonts w:ascii="Garamond" w:hAnsi="Garamond"/>
          <w:sz w:val="24"/>
        </w:rPr>
        <w:t>LER — aproximar-se do texto bíblico com atenção e reverência.</w:t>
      </w:r>
    </w:p>
    <w:p>
      <w:pPr>
        <w:spacing w:after="40"/>
        <w:ind w:left="454" w:hanging="283"/>
        <w:jc w:val="both"/>
      </w:pPr>
      <w:r>
        <w:rPr>
          <w:rFonts w:ascii="Garamond" w:hAnsi="Garamond"/>
          <w:b/>
          <w:color w:val="2E7D4F"/>
          <w:sz w:val="24"/>
        </w:rPr>
        <w:t xml:space="preserve">3. </w:t>
      </w:r>
      <w:r>
        <w:rPr>
          <w:rFonts w:ascii="Garamond" w:hAnsi="Garamond"/>
          <w:sz w:val="24"/>
        </w:rPr>
        <w:t>ESTUDAR — investigar contexto, doutrina, termos e aplicações.</w:t>
      </w:r>
    </w:p>
    <w:p>
      <w:pPr>
        <w:spacing w:after="40"/>
        <w:ind w:left="454" w:hanging="283"/>
        <w:jc w:val="both"/>
      </w:pPr>
      <w:r>
        <w:rPr>
          <w:rFonts w:ascii="Garamond" w:hAnsi="Garamond"/>
          <w:b/>
          <w:color w:val="2E7D4F"/>
          <w:sz w:val="24"/>
        </w:rPr>
        <w:t xml:space="preserve">4. </w:t>
      </w:r>
      <w:r>
        <w:rPr>
          <w:rFonts w:ascii="Garamond" w:hAnsi="Garamond"/>
          <w:sz w:val="24"/>
        </w:rPr>
        <w:t>ANOTAR — registar descobertas, dúvidas e convicções.</w:t>
      </w:r>
    </w:p>
    <w:p>
      <w:pPr>
        <w:spacing w:after="40"/>
        <w:ind w:left="454" w:hanging="283"/>
        <w:jc w:val="both"/>
      </w:pPr>
      <w:r>
        <w:rPr>
          <w:rFonts w:ascii="Garamond" w:hAnsi="Garamond"/>
          <w:b/>
          <w:color w:val="2E7D4F"/>
          <w:sz w:val="24"/>
        </w:rPr>
        <w:t xml:space="preserve">5. </w:t>
      </w:r>
      <w:r>
        <w:rPr>
          <w:rFonts w:ascii="Garamond" w:hAnsi="Garamond"/>
          <w:sz w:val="24"/>
        </w:rPr>
        <w:t>MEMORIZAR — guardar a Palavra no coração.</w:t>
      </w:r>
    </w:p>
    <w:p>
      <w:pPr>
        <w:spacing w:after="40"/>
        <w:ind w:left="454" w:hanging="283"/>
        <w:jc w:val="both"/>
      </w:pPr>
      <w:r>
        <w:rPr>
          <w:rFonts w:ascii="Garamond" w:hAnsi="Garamond"/>
          <w:b/>
          <w:color w:val="2E7D4F"/>
          <w:sz w:val="24"/>
        </w:rPr>
        <w:t xml:space="preserve">6. </w:t>
      </w:r>
      <w:r>
        <w:rPr>
          <w:rFonts w:ascii="Garamond" w:hAnsi="Garamond"/>
          <w:sz w:val="24"/>
        </w:rPr>
        <w:t>APLICAR — traduzir a verdade em obediência concreta.</w:t>
      </w:r>
    </w:p>
    <w:p>
      <w:pPr>
        <w:spacing w:after="40"/>
        <w:ind w:left="454" w:hanging="283"/>
        <w:jc w:val="both"/>
      </w:pPr>
      <w:r>
        <w:rPr>
          <w:rFonts w:ascii="Garamond" w:hAnsi="Garamond"/>
          <w:b/>
          <w:color w:val="2E7D4F"/>
          <w:sz w:val="24"/>
        </w:rPr>
        <w:t xml:space="preserve">7. </w:t>
      </w:r>
      <w:r>
        <w:rPr>
          <w:rFonts w:ascii="Garamond" w:hAnsi="Garamond"/>
          <w:sz w:val="24"/>
        </w:rPr>
        <w:t>ENSINAR — partilhar fielmente o que foi recebido.</w:t>
      </w:r>
    </w:p>
    <w:p>
      <w:pPr>
        <w:spacing w:before="120" w:after="120"/>
        <w:ind w:left="850" w:right="567"/>
        <w:jc w:val="both"/>
      </w:pPr>
      <w:r>
        <w:rPr>
          <w:rFonts w:ascii="Garamond" w:hAnsi="Garamond"/>
          <w:i/>
          <w:color w:val="555555"/>
          <w:sz w:val="22"/>
        </w:rPr>
        <w:t>“Escondi a tua palavra no meu coração, para eu não pecar contra ti.”</w:t>
      </w:r>
      <w:r>
        <w:rPr>
          <w:rFonts w:ascii="Garamond" w:hAnsi="Garamond"/>
          <w:i/>
          <w:color w:val="2E7D4F"/>
          <w:sz w:val="20"/>
        </w:rPr>
        <w:t xml:space="preserve">  (Salmo 119.11, ARC)</w:t>
      </w:r>
    </w:p>
    <w:p>
      <w:pPr>
        <w:keepNext/>
        <w:spacing w:before="360" w:after="120"/>
        <w:jc w:val="left"/>
        <w:pBdr>
          <w:bottom w:val="single" w:sz="6" w:space="1" w:color="1B3A5C"/>
        </w:pBdr>
      </w:pPr>
      <w:r>
        <w:rPr>
          <w:rFonts w:ascii="Garamond" w:hAnsi="Garamond"/>
          <w:b/>
          <w:color w:val="1B3A5C"/>
          <w:sz w:val="30"/>
        </w:rPr>
        <w:t>7. CAPÍTULO VII — ARQUITECTURA ACADÉMICA OFICIAL</w:t>
      </w:r>
    </w:p>
    <w:p>
      <w:pPr>
        <w:jc w:val="both"/>
      </w:pPr>
      <w:r>
        <w:rPr>
          <w:rFonts w:ascii="Garamond" w:hAnsi="Garamond"/>
          <w:b w:val="0"/>
          <w:i w:val="0"/>
          <w:sz w:val="24"/>
        </w:rPr>
        <w:t>A arquitectura da Escola Bíblica Epignósis organiza o ensino de modo progressivo, modular e certificável, permitindo que cada aluno avance de fundamentos cristãos até à maturidade ministerial e multiplicadora.</w:t>
      </w:r>
    </w:p>
    <w:tbl>
      <w:tblPr>
        <w:tblW w:type="auto" w:w="0"/>
        <w:jc w:val="center"/>
        <w:tblLook w:firstColumn="1" w:firstRow="1" w:lastColumn="0" w:lastRow="0" w:noHBand="0" w:noVBand="1" w:val="04A0"/>
      </w:tblPr>
      <w:tblGrid>
        <w:gridCol w:w="2197"/>
        <w:gridCol w:w="2197"/>
        <w:gridCol w:w="2197"/>
        <w:gridCol w:w="2197"/>
      </w:tblGrid>
      <w:tr>
        <w:tc>
          <w:tcPr>
            <w:tcW w:type="dxa" w:w="2197"/>
            <w:shd w:val="clear" w:color="auto" w:fill="1B3A5C"/>
            <w:vAlign w:val="center"/>
          </w:tcPr>
          <w:p>
            <w:pPr>
              <w:jc w:val="center"/>
            </w:pPr>
            <w:r/>
            <w:r>
              <w:rPr>
                <w:rFonts w:ascii="Garamond" w:hAnsi="Garamond"/>
                <w:b/>
                <w:color w:val="FFFFFF"/>
                <w:sz w:val="18"/>
              </w:rPr>
              <w:t>Nível estrutural</w:t>
            </w:r>
          </w:p>
        </w:tc>
        <w:tc>
          <w:tcPr>
            <w:tcW w:type="dxa" w:w="2197"/>
            <w:shd w:val="clear" w:color="auto" w:fill="1B3A5C"/>
            <w:vAlign w:val="center"/>
          </w:tcPr>
          <w:p>
            <w:pPr>
              <w:jc w:val="center"/>
            </w:pPr>
            <w:r/>
            <w:r>
              <w:rPr>
                <w:rFonts w:ascii="Garamond" w:hAnsi="Garamond"/>
                <w:b/>
                <w:color w:val="FFFFFF"/>
                <w:sz w:val="18"/>
              </w:rPr>
              <w:t>Descrição</w:t>
            </w:r>
          </w:p>
        </w:tc>
        <w:tc>
          <w:tcPr>
            <w:tcW w:type="dxa" w:w="2197"/>
            <w:shd w:val="clear" w:color="auto" w:fill="1B3A5C"/>
            <w:vAlign w:val="center"/>
          </w:tcPr>
          <w:p>
            <w:pPr>
              <w:jc w:val="center"/>
            </w:pPr>
            <w:r/>
            <w:r>
              <w:rPr>
                <w:rFonts w:ascii="Garamond" w:hAnsi="Garamond"/>
                <w:b/>
                <w:color w:val="FFFFFF"/>
                <w:sz w:val="18"/>
              </w:rPr>
              <w:t>Função</w:t>
            </w:r>
          </w:p>
        </w:tc>
        <w:tc>
          <w:tcPr>
            <w:tcW w:type="dxa" w:w="2197"/>
            <w:shd w:val="clear" w:color="auto" w:fill="1B3A5C"/>
            <w:vAlign w:val="center"/>
          </w:tcPr>
          <w:p>
            <w:pPr>
              <w:jc w:val="center"/>
            </w:pPr>
            <w:r/>
            <w:r>
              <w:rPr>
                <w:rFonts w:ascii="Garamond" w:hAnsi="Garamond"/>
                <w:b/>
                <w:color w:val="FFFFFF"/>
                <w:sz w:val="18"/>
              </w:rPr>
              <w:t>Exemplo</w:t>
            </w:r>
          </w:p>
        </w:tc>
      </w:tr>
      <w:tr>
        <w:tc>
          <w:tcPr>
            <w:tcW w:type="dxa" w:w="2197"/>
            <w:vAlign w:val="center"/>
          </w:tcPr>
          <w:p>
            <w:pPr>
              <w:jc w:val="left"/>
            </w:pPr>
            <w:r/>
            <w:r>
              <w:rPr>
                <w:rFonts w:ascii="Garamond" w:hAnsi="Garamond"/>
                <w:b w:val="0"/>
                <w:sz w:val="17"/>
              </w:rPr>
              <w:t>1. EBE</w:t>
            </w:r>
          </w:p>
        </w:tc>
        <w:tc>
          <w:tcPr>
            <w:tcW w:type="dxa" w:w="2197"/>
            <w:vAlign w:val="center"/>
          </w:tcPr>
          <w:p>
            <w:pPr>
              <w:jc w:val="left"/>
            </w:pPr>
            <w:r/>
            <w:r>
              <w:rPr>
                <w:rFonts w:ascii="Garamond" w:hAnsi="Garamond"/>
                <w:b w:val="0"/>
                <w:sz w:val="17"/>
              </w:rPr>
              <w:t>Instituição-mãe</w:t>
            </w:r>
          </w:p>
        </w:tc>
        <w:tc>
          <w:tcPr>
            <w:tcW w:type="dxa" w:w="2197"/>
            <w:vAlign w:val="center"/>
          </w:tcPr>
          <w:p>
            <w:pPr>
              <w:jc w:val="left"/>
            </w:pPr>
            <w:r/>
            <w:r>
              <w:rPr>
                <w:rFonts w:ascii="Garamond" w:hAnsi="Garamond"/>
                <w:b w:val="0"/>
                <w:sz w:val="17"/>
              </w:rPr>
              <w:t>Guardar identidade, doutrina, padrões e certificação.</w:t>
            </w:r>
          </w:p>
        </w:tc>
        <w:tc>
          <w:tcPr>
            <w:tcW w:type="dxa" w:w="2197"/>
            <w:vAlign w:val="center"/>
          </w:tcPr>
          <w:p>
            <w:pPr>
              <w:jc w:val="left"/>
            </w:pPr>
            <w:r/>
            <w:r>
              <w:rPr>
                <w:rFonts w:ascii="Garamond" w:hAnsi="Garamond"/>
                <w:b w:val="0"/>
                <w:sz w:val="17"/>
              </w:rPr>
              <w:t>Escola Bíblica Epignósis</w:t>
            </w:r>
          </w:p>
        </w:tc>
      </w:tr>
      <w:tr>
        <w:tc>
          <w:tcPr>
            <w:tcW w:type="dxa" w:w="2197"/>
            <w:vAlign w:val="center"/>
          </w:tcPr>
          <w:p>
            <w:pPr>
              <w:jc w:val="left"/>
            </w:pPr>
            <w:r/>
            <w:r>
              <w:rPr>
                <w:rFonts w:ascii="Garamond" w:hAnsi="Garamond"/>
                <w:b w:val="0"/>
                <w:sz w:val="17"/>
              </w:rPr>
              <w:t>2. Instituto</w:t>
            </w:r>
          </w:p>
        </w:tc>
        <w:tc>
          <w:tcPr>
            <w:tcW w:type="dxa" w:w="2197"/>
            <w:vAlign w:val="center"/>
          </w:tcPr>
          <w:p>
            <w:pPr>
              <w:jc w:val="left"/>
            </w:pPr>
            <w:r/>
            <w:r>
              <w:rPr>
                <w:rFonts w:ascii="Garamond" w:hAnsi="Garamond"/>
                <w:b w:val="0"/>
                <w:sz w:val="17"/>
              </w:rPr>
              <w:t>Grande domínio formativo</w:t>
            </w:r>
          </w:p>
        </w:tc>
        <w:tc>
          <w:tcPr>
            <w:tcW w:type="dxa" w:w="2197"/>
            <w:vAlign w:val="center"/>
          </w:tcPr>
          <w:p>
            <w:pPr>
              <w:jc w:val="left"/>
            </w:pPr>
            <w:r/>
            <w:r>
              <w:rPr>
                <w:rFonts w:ascii="Garamond" w:hAnsi="Garamond"/>
                <w:b w:val="0"/>
                <w:sz w:val="17"/>
              </w:rPr>
              <w:t>Agrupar escolas por área teológica/ministério.</w:t>
            </w:r>
          </w:p>
        </w:tc>
        <w:tc>
          <w:tcPr>
            <w:tcW w:type="dxa" w:w="2197"/>
            <w:vAlign w:val="center"/>
          </w:tcPr>
          <w:p>
            <w:pPr>
              <w:jc w:val="left"/>
            </w:pPr>
            <w:r/>
            <w:r>
              <w:rPr>
                <w:rFonts w:ascii="Garamond" w:hAnsi="Garamond"/>
                <w:b w:val="0"/>
                <w:sz w:val="17"/>
              </w:rPr>
              <w:t>Instituto de Ciências Bíblicas</w:t>
            </w:r>
          </w:p>
        </w:tc>
      </w:tr>
      <w:tr>
        <w:tc>
          <w:tcPr>
            <w:tcW w:type="dxa" w:w="2197"/>
            <w:vAlign w:val="center"/>
          </w:tcPr>
          <w:p>
            <w:pPr>
              <w:jc w:val="left"/>
            </w:pPr>
            <w:r/>
            <w:r>
              <w:rPr>
                <w:rFonts w:ascii="Garamond" w:hAnsi="Garamond"/>
                <w:b w:val="0"/>
                <w:sz w:val="17"/>
              </w:rPr>
              <w:t>3. Escola</w:t>
            </w:r>
          </w:p>
        </w:tc>
        <w:tc>
          <w:tcPr>
            <w:tcW w:type="dxa" w:w="2197"/>
            <w:vAlign w:val="center"/>
          </w:tcPr>
          <w:p>
            <w:pPr>
              <w:jc w:val="left"/>
            </w:pPr>
            <w:r/>
            <w:r>
              <w:rPr>
                <w:rFonts w:ascii="Garamond" w:hAnsi="Garamond"/>
                <w:b w:val="0"/>
                <w:sz w:val="17"/>
              </w:rPr>
              <w:t>Área específica</w:t>
            </w:r>
          </w:p>
        </w:tc>
        <w:tc>
          <w:tcPr>
            <w:tcW w:type="dxa" w:w="2197"/>
            <w:vAlign w:val="center"/>
          </w:tcPr>
          <w:p>
            <w:pPr>
              <w:jc w:val="left"/>
            </w:pPr>
            <w:r/>
            <w:r>
              <w:rPr>
                <w:rFonts w:ascii="Garamond" w:hAnsi="Garamond"/>
                <w:b w:val="0"/>
                <w:sz w:val="17"/>
              </w:rPr>
              <w:t>Organizar cursos afins.</w:t>
            </w:r>
          </w:p>
        </w:tc>
        <w:tc>
          <w:tcPr>
            <w:tcW w:type="dxa" w:w="2197"/>
            <w:vAlign w:val="center"/>
          </w:tcPr>
          <w:p>
            <w:pPr>
              <w:jc w:val="left"/>
            </w:pPr>
            <w:r/>
            <w:r>
              <w:rPr>
                <w:rFonts w:ascii="Garamond" w:hAnsi="Garamond"/>
                <w:b w:val="0"/>
                <w:sz w:val="17"/>
              </w:rPr>
              <w:t>Escola de Hermenêutica</w:t>
            </w:r>
          </w:p>
        </w:tc>
      </w:tr>
      <w:tr>
        <w:tc>
          <w:tcPr>
            <w:tcW w:type="dxa" w:w="2197"/>
            <w:vAlign w:val="center"/>
          </w:tcPr>
          <w:p>
            <w:pPr>
              <w:jc w:val="left"/>
            </w:pPr>
            <w:r/>
            <w:r>
              <w:rPr>
                <w:rFonts w:ascii="Garamond" w:hAnsi="Garamond"/>
                <w:b w:val="0"/>
                <w:sz w:val="17"/>
              </w:rPr>
              <w:t>4. Programa</w:t>
            </w:r>
          </w:p>
        </w:tc>
        <w:tc>
          <w:tcPr>
            <w:tcW w:type="dxa" w:w="2197"/>
            <w:vAlign w:val="center"/>
          </w:tcPr>
          <w:p>
            <w:pPr>
              <w:jc w:val="left"/>
            </w:pPr>
            <w:r/>
            <w:r>
              <w:rPr>
                <w:rFonts w:ascii="Garamond" w:hAnsi="Garamond"/>
                <w:b w:val="0"/>
                <w:sz w:val="17"/>
              </w:rPr>
              <w:t>Percurso formativo integrado</w:t>
            </w:r>
          </w:p>
        </w:tc>
        <w:tc>
          <w:tcPr>
            <w:tcW w:type="dxa" w:w="2197"/>
            <w:vAlign w:val="center"/>
          </w:tcPr>
          <w:p>
            <w:pPr>
              <w:jc w:val="left"/>
            </w:pPr>
            <w:r/>
            <w:r>
              <w:rPr>
                <w:rFonts w:ascii="Garamond" w:hAnsi="Garamond"/>
                <w:b w:val="0"/>
                <w:sz w:val="17"/>
              </w:rPr>
              <w:t>Agrupar cursos para finalidade específica.</w:t>
            </w:r>
          </w:p>
        </w:tc>
        <w:tc>
          <w:tcPr>
            <w:tcW w:type="dxa" w:w="2197"/>
            <w:vAlign w:val="center"/>
          </w:tcPr>
          <w:p>
            <w:pPr>
              <w:jc w:val="left"/>
            </w:pPr>
            <w:r/>
            <w:r>
              <w:rPr>
                <w:rFonts w:ascii="Garamond" w:hAnsi="Garamond"/>
                <w:b w:val="0"/>
                <w:sz w:val="17"/>
              </w:rPr>
              <w:t>Programa de Formação Ministerial</w:t>
            </w:r>
          </w:p>
        </w:tc>
      </w:tr>
      <w:tr>
        <w:tc>
          <w:tcPr>
            <w:tcW w:type="dxa" w:w="2197"/>
            <w:vAlign w:val="center"/>
          </w:tcPr>
          <w:p>
            <w:pPr>
              <w:jc w:val="left"/>
            </w:pPr>
            <w:r/>
            <w:r>
              <w:rPr>
                <w:rFonts w:ascii="Garamond" w:hAnsi="Garamond"/>
                <w:b w:val="0"/>
                <w:sz w:val="17"/>
              </w:rPr>
              <w:t>5. Curso</w:t>
            </w:r>
          </w:p>
        </w:tc>
        <w:tc>
          <w:tcPr>
            <w:tcW w:type="dxa" w:w="2197"/>
            <w:vAlign w:val="center"/>
          </w:tcPr>
          <w:p>
            <w:pPr>
              <w:jc w:val="left"/>
            </w:pPr>
            <w:r/>
            <w:r>
              <w:rPr>
                <w:rFonts w:ascii="Garamond" w:hAnsi="Garamond"/>
                <w:b w:val="0"/>
                <w:sz w:val="17"/>
              </w:rPr>
              <w:t>Unidade curricular ampla</w:t>
            </w:r>
          </w:p>
        </w:tc>
        <w:tc>
          <w:tcPr>
            <w:tcW w:type="dxa" w:w="2197"/>
            <w:vAlign w:val="center"/>
          </w:tcPr>
          <w:p>
            <w:pPr>
              <w:jc w:val="left"/>
            </w:pPr>
            <w:r/>
            <w:r>
              <w:rPr>
                <w:rFonts w:ascii="Garamond" w:hAnsi="Garamond"/>
                <w:b w:val="0"/>
                <w:sz w:val="17"/>
              </w:rPr>
              <w:t>Desenvolver competência bíblica/ministerial.</w:t>
            </w:r>
          </w:p>
        </w:tc>
        <w:tc>
          <w:tcPr>
            <w:tcW w:type="dxa" w:w="2197"/>
            <w:vAlign w:val="center"/>
          </w:tcPr>
          <w:p>
            <w:pPr>
              <w:jc w:val="left"/>
            </w:pPr>
            <w:r/>
            <w:r>
              <w:rPr>
                <w:rFonts w:ascii="Garamond" w:hAnsi="Garamond"/>
                <w:b w:val="0"/>
                <w:sz w:val="17"/>
              </w:rPr>
              <w:t>Introdução à Hermenêutica</w:t>
            </w:r>
          </w:p>
        </w:tc>
      </w:tr>
      <w:tr>
        <w:tc>
          <w:tcPr>
            <w:tcW w:type="dxa" w:w="2197"/>
            <w:vAlign w:val="center"/>
          </w:tcPr>
          <w:p>
            <w:pPr>
              <w:jc w:val="left"/>
            </w:pPr>
            <w:r/>
            <w:r>
              <w:rPr>
                <w:rFonts w:ascii="Garamond" w:hAnsi="Garamond"/>
                <w:b w:val="0"/>
                <w:sz w:val="17"/>
              </w:rPr>
              <w:t>6. Módulo</w:t>
            </w:r>
          </w:p>
        </w:tc>
        <w:tc>
          <w:tcPr>
            <w:tcW w:type="dxa" w:w="2197"/>
            <w:vAlign w:val="center"/>
          </w:tcPr>
          <w:p>
            <w:pPr>
              <w:jc w:val="left"/>
            </w:pPr>
            <w:r/>
            <w:r>
              <w:rPr>
                <w:rFonts w:ascii="Garamond" w:hAnsi="Garamond"/>
                <w:b w:val="0"/>
                <w:sz w:val="17"/>
              </w:rPr>
              <w:t>Bloco temático</w:t>
            </w:r>
          </w:p>
        </w:tc>
        <w:tc>
          <w:tcPr>
            <w:tcW w:type="dxa" w:w="2197"/>
            <w:vAlign w:val="center"/>
          </w:tcPr>
          <w:p>
            <w:pPr>
              <w:jc w:val="left"/>
            </w:pPr>
            <w:r/>
            <w:r>
              <w:rPr>
                <w:rFonts w:ascii="Garamond" w:hAnsi="Garamond"/>
                <w:b w:val="0"/>
                <w:sz w:val="17"/>
              </w:rPr>
              <w:t>Dividir o curso em temas macro.</w:t>
            </w:r>
          </w:p>
        </w:tc>
        <w:tc>
          <w:tcPr>
            <w:tcW w:type="dxa" w:w="2197"/>
            <w:vAlign w:val="center"/>
          </w:tcPr>
          <w:p>
            <w:pPr>
              <w:jc w:val="left"/>
            </w:pPr>
            <w:r/>
            <w:r>
              <w:rPr>
                <w:rFonts w:ascii="Garamond" w:hAnsi="Garamond"/>
                <w:b w:val="0"/>
                <w:sz w:val="17"/>
              </w:rPr>
              <w:t>Regras de Interpretação</w:t>
            </w:r>
          </w:p>
        </w:tc>
      </w:tr>
      <w:tr>
        <w:tc>
          <w:tcPr>
            <w:tcW w:type="dxa" w:w="2197"/>
            <w:vAlign w:val="center"/>
          </w:tcPr>
          <w:p>
            <w:pPr>
              <w:jc w:val="left"/>
            </w:pPr>
            <w:r/>
            <w:r>
              <w:rPr>
                <w:rFonts w:ascii="Garamond" w:hAnsi="Garamond"/>
                <w:b w:val="0"/>
                <w:sz w:val="17"/>
              </w:rPr>
              <w:t>7. Apostila</w:t>
            </w:r>
          </w:p>
        </w:tc>
        <w:tc>
          <w:tcPr>
            <w:tcW w:type="dxa" w:w="2197"/>
            <w:vAlign w:val="center"/>
          </w:tcPr>
          <w:p>
            <w:pPr>
              <w:jc w:val="left"/>
            </w:pPr>
            <w:r/>
            <w:r>
              <w:rPr>
                <w:rFonts w:ascii="Garamond" w:hAnsi="Garamond"/>
                <w:b w:val="0"/>
                <w:sz w:val="17"/>
              </w:rPr>
              <w:t>Unidade mínima de ensino</w:t>
            </w:r>
          </w:p>
        </w:tc>
        <w:tc>
          <w:tcPr>
            <w:tcW w:type="dxa" w:w="2197"/>
            <w:vAlign w:val="center"/>
          </w:tcPr>
          <w:p>
            <w:pPr>
              <w:jc w:val="left"/>
            </w:pPr>
            <w:r/>
            <w:r>
              <w:rPr>
                <w:rFonts w:ascii="Garamond" w:hAnsi="Garamond"/>
                <w:b w:val="0"/>
                <w:sz w:val="17"/>
              </w:rPr>
              <w:t>Ensinar um conceito central em 1–3 horas.</w:t>
            </w:r>
          </w:p>
        </w:tc>
        <w:tc>
          <w:tcPr>
            <w:tcW w:type="dxa" w:w="2197"/>
            <w:vAlign w:val="center"/>
          </w:tcPr>
          <w:p>
            <w:pPr>
              <w:jc w:val="left"/>
            </w:pPr>
            <w:r/>
            <w:r>
              <w:rPr>
                <w:rFonts w:ascii="Garamond" w:hAnsi="Garamond"/>
                <w:b w:val="0"/>
                <w:sz w:val="17"/>
              </w:rPr>
              <w:t>O Contexto Imediato</w:t>
            </w:r>
          </w:p>
        </w:tc>
      </w:tr>
    </w:tbl>
    <w:p>
      <w:pPr>
        <w:keepNext/>
        <w:spacing w:before="360" w:after="120"/>
        <w:jc w:val="left"/>
        <w:pBdr>
          <w:bottom w:val="single" w:sz="6" w:space="1" w:color="1B3A5C"/>
        </w:pBdr>
      </w:pPr>
      <w:r>
        <w:rPr>
          <w:rFonts w:ascii="Garamond" w:hAnsi="Garamond"/>
          <w:b/>
          <w:color w:val="1B3A5C"/>
          <w:sz w:val="30"/>
        </w:rPr>
        <w:t>8. CAPÍTULO VIII — NÍVEIS FORMATIVOS</w:t>
      </w:r>
    </w:p>
    <w:tbl>
      <w:tblPr>
        <w:tblW w:type="auto" w:w="0"/>
        <w:jc w:val="center"/>
        <w:tblLook w:firstColumn="1" w:firstRow="1" w:lastColumn="0" w:lastRow="0" w:noHBand="0" w:noVBand="1" w:val="04A0"/>
      </w:tblPr>
      <w:tblGrid>
        <w:gridCol w:w="2197"/>
        <w:gridCol w:w="2197"/>
        <w:gridCol w:w="2197"/>
        <w:gridCol w:w="2197"/>
      </w:tblGrid>
      <w:tr>
        <w:tc>
          <w:tcPr>
            <w:tcW w:type="dxa" w:w="2197"/>
            <w:shd w:val="clear" w:color="auto" w:fill="1B3A5C"/>
            <w:vAlign w:val="center"/>
          </w:tcPr>
          <w:p>
            <w:pPr>
              <w:jc w:val="center"/>
            </w:pPr>
            <w:r/>
            <w:r>
              <w:rPr>
                <w:rFonts w:ascii="Garamond" w:hAnsi="Garamond"/>
                <w:b/>
                <w:color w:val="FFFFFF"/>
                <w:sz w:val="18"/>
              </w:rPr>
              <w:t>Nível</w:t>
            </w:r>
          </w:p>
        </w:tc>
        <w:tc>
          <w:tcPr>
            <w:tcW w:type="dxa" w:w="2197"/>
            <w:shd w:val="clear" w:color="auto" w:fill="1B3A5C"/>
            <w:vAlign w:val="center"/>
          </w:tcPr>
          <w:p>
            <w:pPr>
              <w:jc w:val="center"/>
            </w:pPr>
            <w:r/>
            <w:r>
              <w:rPr>
                <w:rFonts w:ascii="Garamond" w:hAnsi="Garamond"/>
                <w:b/>
                <w:color w:val="FFFFFF"/>
                <w:sz w:val="18"/>
              </w:rPr>
              <w:t>Verbo-chave</w:t>
            </w:r>
          </w:p>
        </w:tc>
        <w:tc>
          <w:tcPr>
            <w:tcW w:type="dxa" w:w="2197"/>
            <w:shd w:val="clear" w:color="auto" w:fill="1B3A5C"/>
            <w:vAlign w:val="center"/>
          </w:tcPr>
          <w:p>
            <w:pPr>
              <w:jc w:val="center"/>
            </w:pPr>
            <w:r/>
            <w:r>
              <w:rPr>
                <w:rFonts w:ascii="Garamond" w:hAnsi="Garamond"/>
                <w:b/>
                <w:color w:val="FFFFFF"/>
                <w:sz w:val="18"/>
              </w:rPr>
              <w:t>Ênfase</w:t>
            </w:r>
          </w:p>
        </w:tc>
        <w:tc>
          <w:tcPr>
            <w:tcW w:type="dxa" w:w="2197"/>
            <w:shd w:val="clear" w:color="auto" w:fill="1B3A5C"/>
            <w:vAlign w:val="center"/>
          </w:tcPr>
          <w:p>
            <w:pPr>
              <w:jc w:val="center"/>
            </w:pPr>
            <w:r/>
            <w:r>
              <w:rPr>
                <w:rFonts w:ascii="Garamond" w:hAnsi="Garamond"/>
                <w:b/>
                <w:color w:val="FFFFFF"/>
                <w:sz w:val="18"/>
              </w:rPr>
              <w:t>Carga aproximada</w:t>
            </w:r>
          </w:p>
        </w:tc>
      </w:tr>
      <w:tr>
        <w:tc>
          <w:tcPr>
            <w:tcW w:type="dxa" w:w="2197"/>
            <w:vAlign w:val="center"/>
          </w:tcPr>
          <w:p>
            <w:pPr>
              <w:jc w:val="left"/>
            </w:pPr>
            <w:r/>
            <w:r>
              <w:rPr>
                <w:rFonts w:ascii="Garamond" w:hAnsi="Garamond"/>
                <w:b w:val="0"/>
                <w:sz w:val="18"/>
              </w:rPr>
              <w:t>Nível 1 — Discípulo</w:t>
            </w:r>
          </w:p>
        </w:tc>
        <w:tc>
          <w:tcPr>
            <w:tcW w:type="dxa" w:w="2197"/>
            <w:vAlign w:val="center"/>
          </w:tcPr>
          <w:p>
            <w:pPr>
              <w:jc w:val="center"/>
            </w:pPr>
            <w:r/>
            <w:r>
              <w:rPr>
                <w:rFonts w:ascii="Garamond" w:hAnsi="Garamond"/>
                <w:b w:val="0"/>
                <w:sz w:val="18"/>
              </w:rPr>
              <w:t>CONHECER</w:t>
            </w:r>
          </w:p>
        </w:tc>
        <w:tc>
          <w:tcPr>
            <w:tcW w:type="dxa" w:w="2197"/>
            <w:vAlign w:val="center"/>
          </w:tcPr>
          <w:p>
            <w:pPr>
              <w:jc w:val="left"/>
            </w:pPr>
            <w:r/>
            <w:r>
              <w:rPr>
                <w:rFonts w:ascii="Garamond" w:hAnsi="Garamond"/>
                <w:b w:val="0"/>
                <w:sz w:val="18"/>
              </w:rPr>
              <w:t>Fundamentos da fé cristã, novo nascimento, oração, santidade e discipulado inicial.</w:t>
            </w:r>
          </w:p>
        </w:tc>
        <w:tc>
          <w:tcPr>
            <w:tcW w:type="dxa" w:w="2197"/>
            <w:vAlign w:val="center"/>
          </w:tcPr>
          <w:p>
            <w:pPr>
              <w:jc w:val="center"/>
            </w:pPr>
            <w:r/>
            <w:r>
              <w:rPr>
                <w:rFonts w:ascii="Garamond" w:hAnsi="Garamond"/>
                <w:b w:val="0"/>
                <w:sz w:val="18"/>
              </w:rPr>
              <w:t>≈ 380 h</w:t>
            </w:r>
          </w:p>
        </w:tc>
      </w:tr>
      <w:tr>
        <w:tc>
          <w:tcPr>
            <w:tcW w:type="dxa" w:w="2197"/>
            <w:vAlign w:val="center"/>
          </w:tcPr>
          <w:p>
            <w:pPr>
              <w:jc w:val="left"/>
            </w:pPr>
            <w:r/>
            <w:r>
              <w:rPr>
                <w:rFonts w:ascii="Garamond" w:hAnsi="Garamond"/>
                <w:b w:val="0"/>
                <w:sz w:val="18"/>
              </w:rPr>
              <w:t>Nível 2 — Crescimento</w:t>
            </w:r>
          </w:p>
        </w:tc>
        <w:tc>
          <w:tcPr>
            <w:tcW w:type="dxa" w:w="2197"/>
            <w:vAlign w:val="center"/>
          </w:tcPr>
          <w:p>
            <w:pPr>
              <w:jc w:val="center"/>
            </w:pPr>
            <w:r/>
            <w:r>
              <w:rPr>
                <w:rFonts w:ascii="Garamond" w:hAnsi="Garamond"/>
                <w:b w:val="0"/>
                <w:sz w:val="18"/>
              </w:rPr>
              <w:t>SER</w:t>
            </w:r>
          </w:p>
        </w:tc>
        <w:tc>
          <w:tcPr>
            <w:tcW w:type="dxa" w:w="2197"/>
            <w:vAlign w:val="center"/>
          </w:tcPr>
          <w:p>
            <w:pPr>
              <w:jc w:val="left"/>
            </w:pPr>
            <w:r/>
            <w:r>
              <w:rPr>
                <w:rFonts w:ascii="Garamond" w:hAnsi="Garamond"/>
                <w:b w:val="0"/>
                <w:sz w:val="18"/>
              </w:rPr>
              <w:t>Maturidade doutrinária, hermenêutica, vida espiritual e formação do carácter.</w:t>
            </w:r>
          </w:p>
        </w:tc>
        <w:tc>
          <w:tcPr>
            <w:tcW w:type="dxa" w:w="2197"/>
            <w:vAlign w:val="center"/>
          </w:tcPr>
          <w:p>
            <w:pPr>
              <w:jc w:val="center"/>
            </w:pPr>
            <w:r/>
            <w:r>
              <w:rPr>
                <w:rFonts w:ascii="Garamond" w:hAnsi="Garamond"/>
                <w:b w:val="0"/>
                <w:sz w:val="18"/>
              </w:rPr>
              <w:t>≈ 385 h</w:t>
            </w:r>
          </w:p>
        </w:tc>
      </w:tr>
      <w:tr>
        <w:tc>
          <w:tcPr>
            <w:tcW w:type="dxa" w:w="2197"/>
            <w:vAlign w:val="center"/>
          </w:tcPr>
          <w:p>
            <w:pPr>
              <w:jc w:val="left"/>
            </w:pPr>
            <w:r/>
            <w:r>
              <w:rPr>
                <w:rFonts w:ascii="Garamond" w:hAnsi="Garamond"/>
                <w:b w:val="0"/>
                <w:sz w:val="18"/>
              </w:rPr>
              <w:t>Nível 3 — Servir</w:t>
            </w:r>
          </w:p>
        </w:tc>
        <w:tc>
          <w:tcPr>
            <w:tcW w:type="dxa" w:w="2197"/>
            <w:vAlign w:val="center"/>
          </w:tcPr>
          <w:p>
            <w:pPr>
              <w:jc w:val="center"/>
            </w:pPr>
            <w:r/>
            <w:r>
              <w:rPr>
                <w:rFonts w:ascii="Garamond" w:hAnsi="Garamond"/>
                <w:b w:val="0"/>
                <w:sz w:val="18"/>
              </w:rPr>
              <w:t>MINISTÉRIO</w:t>
            </w:r>
          </w:p>
        </w:tc>
        <w:tc>
          <w:tcPr>
            <w:tcW w:type="dxa" w:w="2197"/>
            <w:vAlign w:val="center"/>
          </w:tcPr>
          <w:p>
            <w:pPr>
              <w:jc w:val="left"/>
            </w:pPr>
            <w:r/>
            <w:r>
              <w:rPr>
                <w:rFonts w:ascii="Garamond" w:hAnsi="Garamond"/>
                <w:b w:val="0"/>
                <w:sz w:val="18"/>
              </w:rPr>
              <w:t>Capacitação ministerial, ensino, pregação, liderança, dons e prática de serviço.</w:t>
            </w:r>
          </w:p>
        </w:tc>
        <w:tc>
          <w:tcPr>
            <w:tcW w:type="dxa" w:w="2197"/>
            <w:vAlign w:val="center"/>
          </w:tcPr>
          <w:p>
            <w:pPr>
              <w:jc w:val="center"/>
            </w:pPr>
            <w:r/>
            <w:r>
              <w:rPr>
                <w:rFonts w:ascii="Garamond" w:hAnsi="Garamond"/>
                <w:b w:val="0"/>
                <w:sz w:val="18"/>
              </w:rPr>
              <w:t>≈ 830 h</w:t>
            </w:r>
          </w:p>
        </w:tc>
      </w:tr>
      <w:tr>
        <w:tc>
          <w:tcPr>
            <w:tcW w:type="dxa" w:w="2197"/>
            <w:vAlign w:val="center"/>
          </w:tcPr>
          <w:p>
            <w:pPr>
              <w:jc w:val="left"/>
            </w:pPr>
            <w:r/>
            <w:r>
              <w:rPr>
                <w:rFonts w:ascii="Garamond" w:hAnsi="Garamond"/>
                <w:b w:val="0"/>
                <w:sz w:val="18"/>
              </w:rPr>
              <w:t>Nível 4 — Multiplicação</w:t>
            </w:r>
          </w:p>
        </w:tc>
        <w:tc>
          <w:tcPr>
            <w:tcW w:type="dxa" w:w="2197"/>
            <w:vAlign w:val="center"/>
          </w:tcPr>
          <w:p>
            <w:pPr>
              <w:jc w:val="center"/>
            </w:pPr>
            <w:r/>
            <w:r>
              <w:rPr>
                <w:rFonts w:ascii="Garamond" w:hAnsi="Garamond"/>
                <w:b w:val="0"/>
                <w:sz w:val="18"/>
              </w:rPr>
              <w:t>REINO</w:t>
            </w:r>
          </w:p>
        </w:tc>
        <w:tc>
          <w:tcPr>
            <w:tcW w:type="dxa" w:w="2197"/>
            <w:vAlign w:val="center"/>
          </w:tcPr>
          <w:p>
            <w:pPr>
              <w:jc w:val="left"/>
            </w:pPr>
            <w:r/>
            <w:r>
              <w:rPr>
                <w:rFonts w:ascii="Garamond" w:hAnsi="Garamond"/>
                <w:b w:val="0"/>
                <w:sz w:val="18"/>
              </w:rPr>
              <w:t>Formação de líderes multiplicadores, missão, pesquisa, excelência e impacto no Reino.</w:t>
            </w:r>
          </w:p>
        </w:tc>
        <w:tc>
          <w:tcPr>
            <w:tcW w:type="dxa" w:w="2197"/>
            <w:vAlign w:val="center"/>
          </w:tcPr>
          <w:p>
            <w:pPr>
              <w:jc w:val="center"/>
            </w:pPr>
            <w:r/>
            <w:r>
              <w:rPr>
                <w:rFonts w:ascii="Garamond" w:hAnsi="Garamond"/>
                <w:b w:val="0"/>
                <w:sz w:val="18"/>
              </w:rPr>
              <w:t>≈ 700 h</w:t>
            </w:r>
          </w:p>
        </w:tc>
      </w:tr>
    </w:tbl>
    <w:p>
      <w:pPr>
        <w:jc w:val="both"/>
      </w:pPr>
      <w:r>
        <w:rPr>
          <w:rFonts w:ascii="Garamond" w:hAnsi="Garamond"/>
          <w:b w:val="0"/>
          <w:i/>
          <w:sz w:val="24"/>
        </w:rPr>
        <w:t>A Formação Completa Epignósis compreende aproximadamente 2.200–2.400 horas, conforme trilhas, equivalências, práticas e programas complementares.</w:t>
      </w:r>
    </w:p>
    <w:p>
      <w:pPr>
        <w:keepNext/>
        <w:spacing w:before="360" w:after="120"/>
        <w:jc w:val="left"/>
        <w:pBdr>
          <w:bottom w:val="single" w:sz="6" w:space="1" w:color="1B3A5C"/>
        </w:pBdr>
      </w:pPr>
      <w:r>
        <w:rPr>
          <w:rFonts w:ascii="Garamond" w:hAnsi="Garamond"/>
          <w:b/>
          <w:color w:val="1B3A5C"/>
          <w:sz w:val="30"/>
        </w:rPr>
        <w:t>9. CAPÍTULO IX — OS DEZ INSTITUTOS FUNDADORES</w:t>
      </w:r>
    </w:p>
    <w:tbl>
      <w:tblPr>
        <w:tblW w:type="auto" w:w="0"/>
        <w:jc w:val="center"/>
        <w:tblLook w:firstColumn="1" w:firstRow="1" w:lastColumn="0" w:lastRow="0" w:noHBand="0" w:noVBand="1" w:val="04A0"/>
      </w:tblPr>
      <w:tblGrid>
        <w:gridCol w:w="2929"/>
        <w:gridCol w:w="2929"/>
        <w:gridCol w:w="2929"/>
      </w:tblGrid>
      <w:tr>
        <w:tc>
          <w:tcPr>
            <w:tcW w:type="dxa" w:w="2929"/>
            <w:shd w:val="clear" w:color="auto" w:fill="1B3A5C"/>
            <w:vAlign w:val="center"/>
          </w:tcPr>
          <w:p>
            <w:pPr>
              <w:jc w:val="center"/>
            </w:pPr>
            <w:r/>
            <w:r>
              <w:rPr>
                <w:rFonts w:ascii="Garamond" w:hAnsi="Garamond"/>
                <w:b/>
                <w:color w:val="FFFFFF"/>
                <w:sz w:val="18"/>
              </w:rPr>
              <w:t>N.º</w:t>
            </w:r>
          </w:p>
        </w:tc>
        <w:tc>
          <w:tcPr>
            <w:tcW w:type="dxa" w:w="2929"/>
            <w:shd w:val="clear" w:color="auto" w:fill="1B3A5C"/>
            <w:vAlign w:val="center"/>
          </w:tcPr>
          <w:p>
            <w:pPr>
              <w:jc w:val="center"/>
            </w:pPr>
            <w:r/>
            <w:r>
              <w:rPr>
                <w:rFonts w:ascii="Garamond" w:hAnsi="Garamond"/>
                <w:b/>
                <w:color w:val="FFFFFF"/>
                <w:sz w:val="18"/>
              </w:rPr>
              <w:t>Instituto</w:t>
            </w:r>
          </w:p>
        </w:tc>
        <w:tc>
          <w:tcPr>
            <w:tcW w:type="dxa" w:w="2929"/>
            <w:shd w:val="clear" w:color="auto" w:fill="1B3A5C"/>
            <w:vAlign w:val="center"/>
          </w:tcPr>
          <w:p>
            <w:pPr>
              <w:jc w:val="center"/>
            </w:pPr>
            <w:r/>
            <w:r>
              <w:rPr>
                <w:rFonts w:ascii="Garamond" w:hAnsi="Garamond"/>
                <w:b/>
                <w:color w:val="FFFFFF"/>
                <w:sz w:val="18"/>
              </w:rPr>
              <w:t>Vocação formativa</w:t>
            </w:r>
          </w:p>
        </w:tc>
      </w:tr>
      <w:tr>
        <w:tc>
          <w:tcPr>
            <w:tcW w:type="dxa" w:w="2929"/>
            <w:vAlign w:val="center"/>
          </w:tcPr>
          <w:p>
            <w:pPr>
              <w:jc w:val="center"/>
            </w:pPr>
            <w:r/>
            <w:r>
              <w:rPr>
                <w:rFonts w:ascii="Garamond" w:hAnsi="Garamond"/>
                <w:b w:val="0"/>
                <w:sz w:val="17"/>
              </w:rPr>
              <w:t>1</w:t>
            </w:r>
          </w:p>
        </w:tc>
        <w:tc>
          <w:tcPr>
            <w:tcW w:type="dxa" w:w="2929"/>
            <w:vAlign w:val="center"/>
          </w:tcPr>
          <w:p>
            <w:pPr>
              <w:jc w:val="left"/>
            </w:pPr>
            <w:r/>
            <w:r>
              <w:rPr>
                <w:rFonts w:ascii="Garamond" w:hAnsi="Garamond"/>
                <w:b w:val="0"/>
                <w:sz w:val="17"/>
              </w:rPr>
              <w:t>Instituto de Formação Cristã</w:t>
            </w:r>
          </w:p>
        </w:tc>
        <w:tc>
          <w:tcPr>
            <w:tcW w:type="dxa" w:w="2929"/>
            <w:vAlign w:val="center"/>
          </w:tcPr>
          <w:p>
            <w:pPr>
              <w:jc w:val="left"/>
            </w:pPr>
            <w:r/>
            <w:r>
              <w:rPr>
                <w:rFonts w:ascii="Garamond" w:hAnsi="Garamond"/>
                <w:b w:val="0"/>
                <w:sz w:val="17"/>
              </w:rPr>
              <w:t>Fundamentos, discipulado, vida cristã e identidade em Cristo.</w:t>
            </w:r>
          </w:p>
        </w:tc>
      </w:tr>
      <w:tr>
        <w:tc>
          <w:tcPr>
            <w:tcW w:type="dxa" w:w="2929"/>
            <w:vAlign w:val="center"/>
          </w:tcPr>
          <w:p>
            <w:pPr>
              <w:jc w:val="center"/>
            </w:pPr>
            <w:r/>
            <w:r>
              <w:rPr>
                <w:rFonts w:ascii="Garamond" w:hAnsi="Garamond"/>
                <w:b w:val="0"/>
                <w:sz w:val="17"/>
              </w:rPr>
              <w:t>2</w:t>
            </w:r>
          </w:p>
        </w:tc>
        <w:tc>
          <w:tcPr>
            <w:tcW w:type="dxa" w:w="2929"/>
            <w:vAlign w:val="center"/>
          </w:tcPr>
          <w:p>
            <w:pPr>
              <w:jc w:val="left"/>
            </w:pPr>
            <w:r/>
            <w:r>
              <w:rPr>
                <w:rFonts w:ascii="Garamond" w:hAnsi="Garamond"/>
                <w:b w:val="0"/>
                <w:sz w:val="17"/>
              </w:rPr>
              <w:t>Instituto de Ciências Bíblicas</w:t>
            </w:r>
          </w:p>
        </w:tc>
        <w:tc>
          <w:tcPr>
            <w:tcW w:type="dxa" w:w="2929"/>
            <w:vAlign w:val="center"/>
          </w:tcPr>
          <w:p>
            <w:pPr>
              <w:jc w:val="left"/>
            </w:pPr>
            <w:r/>
            <w:r>
              <w:rPr>
                <w:rFonts w:ascii="Garamond" w:hAnsi="Garamond"/>
                <w:b w:val="0"/>
                <w:sz w:val="17"/>
              </w:rPr>
              <w:t>Bíblia, panorama, exegese, hermenêutica e interpretação fiel.</w:t>
            </w:r>
          </w:p>
        </w:tc>
      </w:tr>
      <w:tr>
        <w:tc>
          <w:tcPr>
            <w:tcW w:type="dxa" w:w="2929"/>
            <w:vAlign w:val="center"/>
          </w:tcPr>
          <w:p>
            <w:pPr>
              <w:jc w:val="center"/>
            </w:pPr>
            <w:r/>
            <w:r>
              <w:rPr>
                <w:rFonts w:ascii="Garamond" w:hAnsi="Garamond"/>
                <w:b w:val="0"/>
                <w:sz w:val="17"/>
              </w:rPr>
              <w:t>3</w:t>
            </w:r>
          </w:p>
        </w:tc>
        <w:tc>
          <w:tcPr>
            <w:tcW w:type="dxa" w:w="2929"/>
            <w:vAlign w:val="center"/>
          </w:tcPr>
          <w:p>
            <w:pPr>
              <w:jc w:val="left"/>
            </w:pPr>
            <w:r/>
            <w:r>
              <w:rPr>
                <w:rFonts w:ascii="Garamond" w:hAnsi="Garamond"/>
                <w:b w:val="0"/>
                <w:sz w:val="17"/>
              </w:rPr>
              <w:t>Instituto de Ciências Teológicas</w:t>
            </w:r>
          </w:p>
        </w:tc>
        <w:tc>
          <w:tcPr>
            <w:tcW w:type="dxa" w:w="2929"/>
            <w:vAlign w:val="center"/>
          </w:tcPr>
          <w:p>
            <w:pPr>
              <w:jc w:val="left"/>
            </w:pPr>
            <w:r/>
            <w:r>
              <w:rPr>
                <w:rFonts w:ascii="Garamond" w:hAnsi="Garamond"/>
                <w:b w:val="0"/>
                <w:sz w:val="17"/>
              </w:rPr>
              <w:t>Doutrinas cristãs, teologia sistemática, bíblica e histórica.</w:t>
            </w:r>
          </w:p>
        </w:tc>
      </w:tr>
      <w:tr>
        <w:tc>
          <w:tcPr>
            <w:tcW w:type="dxa" w:w="2929"/>
            <w:vAlign w:val="center"/>
          </w:tcPr>
          <w:p>
            <w:pPr>
              <w:jc w:val="center"/>
            </w:pPr>
            <w:r/>
            <w:r>
              <w:rPr>
                <w:rFonts w:ascii="Garamond" w:hAnsi="Garamond"/>
                <w:b w:val="0"/>
                <w:sz w:val="17"/>
              </w:rPr>
              <w:t>4</w:t>
            </w:r>
          </w:p>
        </w:tc>
        <w:tc>
          <w:tcPr>
            <w:tcW w:type="dxa" w:w="2929"/>
            <w:vAlign w:val="center"/>
          </w:tcPr>
          <w:p>
            <w:pPr>
              <w:jc w:val="left"/>
            </w:pPr>
            <w:r/>
            <w:r>
              <w:rPr>
                <w:rFonts w:ascii="Garamond" w:hAnsi="Garamond"/>
                <w:b w:val="0"/>
                <w:sz w:val="17"/>
              </w:rPr>
              <w:t>Instituto de Formação Espiritual</w:t>
            </w:r>
          </w:p>
        </w:tc>
        <w:tc>
          <w:tcPr>
            <w:tcW w:type="dxa" w:w="2929"/>
            <w:vAlign w:val="center"/>
          </w:tcPr>
          <w:p>
            <w:pPr>
              <w:jc w:val="left"/>
            </w:pPr>
            <w:r/>
            <w:r>
              <w:rPr>
                <w:rFonts w:ascii="Garamond" w:hAnsi="Garamond"/>
                <w:b w:val="0"/>
                <w:sz w:val="17"/>
              </w:rPr>
              <w:t>Vida devocional, carácter, disciplinas espirituais e maturidade.</w:t>
            </w:r>
          </w:p>
        </w:tc>
      </w:tr>
      <w:tr>
        <w:tc>
          <w:tcPr>
            <w:tcW w:type="dxa" w:w="2929"/>
            <w:vAlign w:val="center"/>
          </w:tcPr>
          <w:p>
            <w:pPr>
              <w:jc w:val="center"/>
            </w:pPr>
            <w:r/>
            <w:r>
              <w:rPr>
                <w:rFonts w:ascii="Garamond" w:hAnsi="Garamond"/>
                <w:b w:val="0"/>
                <w:sz w:val="17"/>
              </w:rPr>
              <w:t>5</w:t>
            </w:r>
          </w:p>
        </w:tc>
        <w:tc>
          <w:tcPr>
            <w:tcW w:type="dxa" w:w="2929"/>
            <w:vAlign w:val="center"/>
          </w:tcPr>
          <w:p>
            <w:pPr>
              <w:jc w:val="left"/>
            </w:pPr>
            <w:r/>
            <w:r>
              <w:rPr>
                <w:rFonts w:ascii="Garamond" w:hAnsi="Garamond"/>
                <w:b w:val="0"/>
                <w:sz w:val="17"/>
              </w:rPr>
              <w:t>Instituto Ministerial</w:t>
            </w:r>
          </w:p>
        </w:tc>
        <w:tc>
          <w:tcPr>
            <w:tcW w:type="dxa" w:w="2929"/>
            <w:vAlign w:val="center"/>
          </w:tcPr>
          <w:p>
            <w:pPr>
              <w:jc w:val="left"/>
            </w:pPr>
            <w:r/>
            <w:r>
              <w:rPr>
                <w:rFonts w:ascii="Garamond" w:hAnsi="Garamond"/>
                <w:b w:val="0"/>
                <w:sz w:val="17"/>
              </w:rPr>
              <w:t>Pregação, ensino, aconselhamento, administração e prática ministerial.</w:t>
            </w:r>
          </w:p>
        </w:tc>
      </w:tr>
      <w:tr>
        <w:tc>
          <w:tcPr>
            <w:tcW w:type="dxa" w:w="2929"/>
            <w:vAlign w:val="center"/>
          </w:tcPr>
          <w:p>
            <w:pPr>
              <w:jc w:val="center"/>
            </w:pPr>
            <w:r/>
            <w:r>
              <w:rPr>
                <w:rFonts w:ascii="Garamond" w:hAnsi="Garamond"/>
                <w:b w:val="0"/>
                <w:sz w:val="17"/>
              </w:rPr>
              <w:t>6</w:t>
            </w:r>
          </w:p>
        </w:tc>
        <w:tc>
          <w:tcPr>
            <w:tcW w:type="dxa" w:w="2929"/>
            <w:vAlign w:val="center"/>
          </w:tcPr>
          <w:p>
            <w:pPr>
              <w:jc w:val="left"/>
            </w:pPr>
            <w:r/>
            <w:r>
              <w:rPr>
                <w:rFonts w:ascii="Garamond" w:hAnsi="Garamond"/>
                <w:b w:val="0"/>
                <w:sz w:val="17"/>
              </w:rPr>
              <w:t>Instituto do Reino e Poder</w:t>
            </w:r>
          </w:p>
        </w:tc>
        <w:tc>
          <w:tcPr>
            <w:tcW w:type="dxa" w:w="2929"/>
            <w:vAlign w:val="center"/>
          </w:tcPr>
          <w:p>
            <w:pPr>
              <w:jc w:val="left"/>
            </w:pPr>
            <w:r/>
            <w:r>
              <w:rPr>
                <w:rFonts w:ascii="Garamond" w:hAnsi="Garamond"/>
                <w:b w:val="0"/>
                <w:sz w:val="17"/>
              </w:rPr>
              <w:t>Reino de Deus, dons espirituais, autoridade, oração e poder para servir.</w:t>
            </w:r>
          </w:p>
        </w:tc>
      </w:tr>
      <w:tr>
        <w:tc>
          <w:tcPr>
            <w:tcW w:type="dxa" w:w="2929"/>
            <w:vAlign w:val="center"/>
          </w:tcPr>
          <w:p>
            <w:pPr>
              <w:jc w:val="center"/>
            </w:pPr>
            <w:r/>
            <w:r>
              <w:rPr>
                <w:rFonts w:ascii="Garamond" w:hAnsi="Garamond"/>
                <w:b w:val="0"/>
                <w:sz w:val="17"/>
              </w:rPr>
              <w:t>7</w:t>
            </w:r>
          </w:p>
        </w:tc>
        <w:tc>
          <w:tcPr>
            <w:tcW w:type="dxa" w:w="2929"/>
            <w:vAlign w:val="center"/>
          </w:tcPr>
          <w:p>
            <w:pPr>
              <w:jc w:val="left"/>
            </w:pPr>
            <w:r/>
            <w:r>
              <w:rPr>
                <w:rFonts w:ascii="Garamond" w:hAnsi="Garamond"/>
                <w:b w:val="0"/>
                <w:sz w:val="17"/>
              </w:rPr>
              <w:t>Instituto dos Cinco Ministérios</w:t>
            </w:r>
          </w:p>
        </w:tc>
        <w:tc>
          <w:tcPr>
            <w:tcW w:type="dxa" w:w="2929"/>
            <w:vAlign w:val="center"/>
          </w:tcPr>
          <w:p>
            <w:pPr>
              <w:jc w:val="left"/>
            </w:pPr>
            <w:r/>
            <w:r>
              <w:rPr>
                <w:rFonts w:ascii="Garamond" w:hAnsi="Garamond"/>
                <w:b w:val="0"/>
                <w:sz w:val="17"/>
              </w:rPr>
              <w:t>Apóstolos, profetas, evangelistas, pastores e mestres para edificação da Igreja.</w:t>
            </w:r>
          </w:p>
        </w:tc>
      </w:tr>
      <w:tr>
        <w:tc>
          <w:tcPr>
            <w:tcW w:type="dxa" w:w="2929"/>
            <w:vAlign w:val="center"/>
          </w:tcPr>
          <w:p>
            <w:pPr>
              <w:jc w:val="center"/>
            </w:pPr>
            <w:r/>
            <w:r>
              <w:rPr>
                <w:rFonts w:ascii="Garamond" w:hAnsi="Garamond"/>
                <w:b w:val="0"/>
                <w:sz w:val="17"/>
              </w:rPr>
              <w:t>8</w:t>
            </w:r>
          </w:p>
        </w:tc>
        <w:tc>
          <w:tcPr>
            <w:tcW w:type="dxa" w:w="2929"/>
            <w:vAlign w:val="center"/>
          </w:tcPr>
          <w:p>
            <w:pPr>
              <w:jc w:val="left"/>
            </w:pPr>
            <w:r/>
            <w:r>
              <w:rPr>
                <w:rFonts w:ascii="Garamond" w:hAnsi="Garamond"/>
                <w:b w:val="0"/>
                <w:sz w:val="17"/>
              </w:rPr>
              <w:t>Instituto de Missões</w:t>
            </w:r>
          </w:p>
        </w:tc>
        <w:tc>
          <w:tcPr>
            <w:tcW w:type="dxa" w:w="2929"/>
            <w:vAlign w:val="center"/>
          </w:tcPr>
          <w:p>
            <w:pPr>
              <w:jc w:val="left"/>
            </w:pPr>
            <w:r/>
            <w:r>
              <w:rPr>
                <w:rFonts w:ascii="Garamond" w:hAnsi="Garamond"/>
                <w:b w:val="0"/>
                <w:sz w:val="17"/>
              </w:rPr>
              <w:t>Evangelização, missões locais, urbanas, transculturais e plantação de igrejas.</w:t>
            </w:r>
          </w:p>
        </w:tc>
      </w:tr>
      <w:tr>
        <w:tc>
          <w:tcPr>
            <w:tcW w:type="dxa" w:w="2929"/>
            <w:vAlign w:val="center"/>
          </w:tcPr>
          <w:p>
            <w:pPr>
              <w:jc w:val="center"/>
            </w:pPr>
            <w:r/>
            <w:r>
              <w:rPr>
                <w:rFonts w:ascii="Garamond" w:hAnsi="Garamond"/>
                <w:b w:val="0"/>
                <w:sz w:val="17"/>
              </w:rPr>
              <w:t>9</w:t>
            </w:r>
          </w:p>
        </w:tc>
        <w:tc>
          <w:tcPr>
            <w:tcW w:type="dxa" w:w="2929"/>
            <w:vAlign w:val="center"/>
          </w:tcPr>
          <w:p>
            <w:pPr>
              <w:jc w:val="left"/>
            </w:pPr>
            <w:r/>
            <w:r>
              <w:rPr>
                <w:rFonts w:ascii="Garamond" w:hAnsi="Garamond"/>
                <w:b w:val="0"/>
                <w:sz w:val="17"/>
              </w:rPr>
              <w:t>Instituto de Liderança e Multiplicação</w:t>
            </w:r>
          </w:p>
        </w:tc>
        <w:tc>
          <w:tcPr>
            <w:tcW w:type="dxa" w:w="2929"/>
            <w:vAlign w:val="center"/>
          </w:tcPr>
          <w:p>
            <w:pPr>
              <w:jc w:val="left"/>
            </w:pPr>
            <w:r/>
            <w:r>
              <w:rPr>
                <w:rFonts w:ascii="Garamond" w:hAnsi="Garamond"/>
                <w:b w:val="0"/>
                <w:sz w:val="17"/>
              </w:rPr>
              <w:t>Liderança servidora, mentoria, gestão ministerial e formação de líderes.</w:t>
            </w:r>
          </w:p>
        </w:tc>
      </w:tr>
      <w:tr>
        <w:tc>
          <w:tcPr>
            <w:tcW w:type="dxa" w:w="2929"/>
            <w:vAlign w:val="center"/>
          </w:tcPr>
          <w:p>
            <w:pPr>
              <w:jc w:val="center"/>
            </w:pPr>
            <w:r/>
            <w:r>
              <w:rPr>
                <w:rFonts w:ascii="Garamond" w:hAnsi="Garamond"/>
                <w:b w:val="0"/>
                <w:sz w:val="17"/>
              </w:rPr>
              <w:t>10</w:t>
            </w:r>
          </w:p>
        </w:tc>
        <w:tc>
          <w:tcPr>
            <w:tcW w:type="dxa" w:w="2929"/>
            <w:vAlign w:val="center"/>
          </w:tcPr>
          <w:p>
            <w:pPr>
              <w:jc w:val="left"/>
            </w:pPr>
            <w:r/>
            <w:r>
              <w:rPr>
                <w:rFonts w:ascii="Garamond" w:hAnsi="Garamond"/>
                <w:b w:val="0"/>
                <w:sz w:val="17"/>
              </w:rPr>
              <w:t>Instituto de Pesquisa Bíblica e Excelência</w:t>
            </w:r>
          </w:p>
        </w:tc>
        <w:tc>
          <w:tcPr>
            <w:tcW w:type="dxa" w:w="2929"/>
            <w:vAlign w:val="center"/>
          </w:tcPr>
          <w:p>
            <w:pPr>
              <w:jc w:val="left"/>
            </w:pPr>
            <w:r/>
            <w:r>
              <w:rPr>
                <w:rFonts w:ascii="Garamond" w:hAnsi="Garamond"/>
                <w:b w:val="0"/>
                <w:sz w:val="17"/>
              </w:rPr>
              <w:t>Metodologia, investigação, escrita, produção de materiais e excelência académica.</w:t>
            </w:r>
          </w:p>
        </w:tc>
      </w:tr>
    </w:tbl>
    <w:p>
      <w:r>
        <w:br w:type="page"/>
      </w:r>
    </w:p>
    <w:p>
      <w:pPr>
        <w:keepNext/>
        <w:spacing w:before="360" w:after="120"/>
        <w:jc w:val="left"/>
        <w:pBdr>
          <w:bottom w:val="single" w:sz="6" w:space="1" w:color="1B3A5C"/>
        </w:pBdr>
      </w:pPr>
      <w:r>
        <w:rPr>
          <w:rFonts w:ascii="Garamond" w:hAnsi="Garamond"/>
          <w:b/>
          <w:color w:val="1B3A5C"/>
          <w:sz w:val="30"/>
        </w:rPr>
        <w:t>10. CAPÍTULO X — IDENTIDADE ACADÉMICA E AVALIATIVA</w:t>
      </w:r>
    </w:p>
    <w:p>
      <w:pPr>
        <w:jc w:val="both"/>
      </w:pPr>
      <w:r>
        <w:rPr>
          <w:rFonts w:ascii="Garamond" w:hAnsi="Garamond"/>
          <w:b w:val="0"/>
          <w:i w:val="0"/>
          <w:sz w:val="24"/>
        </w:rPr>
        <w:t>A EBE adopta avaliação integral, respeitando o desenvolvimento cognitivo, doutrinário, espiritual e ministerial do aluno. A nota final não mede apenas informação memorizada, mas maturidade formativa nas quatro dimensões institucionais.</w:t>
      </w:r>
    </w:p>
    <w:p>
      <w:pPr>
        <w:keepNext/>
        <w:spacing w:before="240" w:after="80"/>
      </w:pPr>
      <w:r>
        <w:rPr>
          <w:rFonts w:ascii="Garamond" w:hAnsi="Garamond"/>
          <w:b/>
          <w:color w:val="1B3A5C"/>
          <w:sz w:val="26"/>
        </w:rPr>
        <w:t>10.1. Escala institucional de notas</w:t>
      </w:r>
    </w:p>
    <w:tbl>
      <w:tblPr>
        <w:tblW w:type="auto" w:w="0"/>
        <w:jc w:val="center"/>
        <w:tblLook w:firstColumn="1" w:firstRow="1" w:lastColumn="0" w:lastRow="0" w:noHBand="0" w:noVBand="1" w:val="04A0"/>
      </w:tblPr>
      <w:tblGrid>
        <w:gridCol w:w="2929"/>
        <w:gridCol w:w="2929"/>
        <w:gridCol w:w="2929"/>
      </w:tblGrid>
      <w:tr>
        <w:tc>
          <w:tcPr>
            <w:tcW w:type="dxa" w:w="2929"/>
            <w:shd w:val="clear" w:color="auto" w:fill="1B3A5C"/>
            <w:vAlign w:val="center"/>
          </w:tcPr>
          <w:p>
            <w:pPr>
              <w:jc w:val="center"/>
            </w:pPr>
            <w:r/>
            <w:r>
              <w:rPr>
                <w:rFonts w:ascii="Garamond" w:hAnsi="Garamond"/>
                <w:b/>
                <w:color w:val="FFFFFF"/>
                <w:sz w:val="18"/>
              </w:rPr>
              <w:t>Intervalo</w:t>
            </w:r>
          </w:p>
        </w:tc>
        <w:tc>
          <w:tcPr>
            <w:tcW w:type="dxa" w:w="2929"/>
            <w:shd w:val="clear" w:color="auto" w:fill="1B3A5C"/>
            <w:vAlign w:val="center"/>
          </w:tcPr>
          <w:p>
            <w:pPr>
              <w:jc w:val="center"/>
            </w:pPr>
            <w:r/>
            <w:r>
              <w:rPr>
                <w:rFonts w:ascii="Garamond" w:hAnsi="Garamond"/>
                <w:b/>
                <w:color w:val="FFFFFF"/>
                <w:sz w:val="18"/>
              </w:rPr>
              <w:t>Menção</w:t>
            </w:r>
          </w:p>
        </w:tc>
        <w:tc>
          <w:tcPr>
            <w:tcW w:type="dxa" w:w="2929"/>
            <w:shd w:val="clear" w:color="auto" w:fill="1B3A5C"/>
            <w:vAlign w:val="center"/>
          </w:tcPr>
          <w:p>
            <w:pPr>
              <w:jc w:val="center"/>
            </w:pPr>
            <w:r/>
            <w:r>
              <w:rPr>
                <w:rFonts w:ascii="Garamond" w:hAnsi="Garamond"/>
                <w:b/>
                <w:color w:val="FFFFFF"/>
                <w:sz w:val="18"/>
              </w:rPr>
              <w:t>Sentido formativo</w:t>
            </w:r>
          </w:p>
        </w:tc>
      </w:tr>
      <w:tr>
        <w:tc>
          <w:tcPr>
            <w:tcW w:type="dxa" w:w="2929"/>
            <w:vAlign w:val="center"/>
          </w:tcPr>
          <w:p>
            <w:pPr>
              <w:jc w:val="center"/>
            </w:pPr>
            <w:r/>
            <w:r>
              <w:rPr>
                <w:rFonts w:ascii="Garamond" w:hAnsi="Garamond"/>
                <w:b w:val="0"/>
                <w:sz w:val="18"/>
              </w:rPr>
              <w:t>9,0–10,0</w:t>
            </w:r>
          </w:p>
        </w:tc>
        <w:tc>
          <w:tcPr>
            <w:tcW w:type="dxa" w:w="2929"/>
            <w:vAlign w:val="center"/>
          </w:tcPr>
          <w:p>
            <w:pPr>
              <w:jc w:val="center"/>
            </w:pPr>
            <w:r/>
            <w:r>
              <w:rPr>
                <w:rFonts w:ascii="Garamond" w:hAnsi="Garamond"/>
                <w:b w:val="0"/>
                <w:sz w:val="18"/>
              </w:rPr>
              <w:t>Excelente</w:t>
            </w:r>
          </w:p>
        </w:tc>
        <w:tc>
          <w:tcPr>
            <w:tcW w:type="dxa" w:w="2929"/>
            <w:vAlign w:val="center"/>
          </w:tcPr>
          <w:p>
            <w:pPr>
              <w:jc w:val="left"/>
            </w:pPr>
            <w:r/>
            <w:r>
              <w:rPr>
                <w:rFonts w:ascii="Garamond" w:hAnsi="Garamond"/>
                <w:b w:val="0"/>
                <w:sz w:val="18"/>
              </w:rPr>
              <w:t>Domínio elevado, clareza, maturidade, aplicação e serviço com excelência.</w:t>
            </w:r>
          </w:p>
        </w:tc>
      </w:tr>
      <w:tr>
        <w:tc>
          <w:tcPr>
            <w:tcW w:type="dxa" w:w="2929"/>
            <w:vAlign w:val="center"/>
          </w:tcPr>
          <w:p>
            <w:pPr>
              <w:jc w:val="center"/>
            </w:pPr>
            <w:r/>
            <w:r>
              <w:rPr>
                <w:rFonts w:ascii="Garamond" w:hAnsi="Garamond"/>
                <w:b w:val="0"/>
                <w:sz w:val="18"/>
              </w:rPr>
              <w:t>7,5–8,9</w:t>
            </w:r>
          </w:p>
        </w:tc>
        <w:tc>
          <w:tcPr>
            <w:tcW w:type="dxa" w:w="2929"/>
            <w:vAlign w:val="center"/>
          </w:tcPr>
          <w:p>
            <w:pPr>
              <w:jc w:val="center"/>
            </w:pPr>
            <w:r/>
            <w:r>
              <w:rPr>
                <w:rFonts w:ascii="Garamond" w:hAnsi="Garamond"/>
                <w:b w:val="0"/>
                <w:sz w:val="18"/>
              </w:rPr>
              <w:t>Muito bom</w:t>
            </w:r>
          </w:p>
        </w:tc>
        <w:tc>
          <w:tcPr>
            <w:tcW w:type="dxa" w:w="2929"/>
            <w:vAlign w:val="center"/>
          </w:tcPr>
          <w:p>
            <w:pPr>
              <w:jc w:val="left"/>
            </w:pPr>
            <w:r/>
            <w:r>
              <w:rPr>
                <w:rFonts w:ascii="Garamond" w:hAnsi="Garamond"/>
                <w:b w:val="0"/>
                <w:sz w:val="18"/>
              </w:rPr>
              <w:t>Bom domínio e aplicação consistente.</w:t>
            </w:r>
          </w:p>
        </w:tc>
      </w:tr>
      <w:tr>
        <w:tc>
          <w:tcPr>
            <w:tcW w:type="dxa" w:w="2929"/>
            <w:vAlign w:val="center"/>
          </w:tcPr>
          <w:p>
            <w:pPr>
              <w:jc w:val="center"/>
            </w:pPr>
            <w:r/>
            <w:r>
              <w:rPr>
                <w:rFonts w:ascii="Garamond" w:hAnsi="Garamond"/>
                <w:b w:val="0"/>
                <w:sz w:val="18"/>
              </w:rPr>
              <w:t>6,0–7,4</w:t>
            </w:r>
          </w:p>
        </w:tc>
        <w:tc>
          <w:tcPr>
            <w:tcW w:type="dxa" w:w="2929"/>
            <w:vAlign w:val="center"/>
          </w:tcPr>
          <w:p>
            <w:pPr>
              <w:jc w:val="center"/>
            </w:pPr>
            <w:r/>
            <w:r>
              <w:rPr>
                <w:rFonts w:ascii="Garamond" w:hAnsi="Garamond"/>
                <w:b w:val="0"/>
                <w:sz w:val="18"/>
              </w:rPr>
              <w:t>Satisfatório</w:t>
            </w:r>
          </w:p>
        </w:tc>
        <w:tc>
          <w:tcPr>
            <w:tcW w:type="dxa" w:w="2929"/>
            <w:vAlign w:val="center"/>
          </w:tcPr>
          <w:p>
            <w:pPr>
              <w:jc w:val="left"/>
            </w:pPr>
            <w:r/>
            <w:r>
              <w:rPr>
                <w:rFonts w:ascii="Garamond" w:hAnsi="Garamond"/>
                <w:b w:val="0"/>
                <w:sz w:val="18"/>
              </w:rPr>
              <w:t>Cumpre os requisitos essenciais de aprovação.</w:t>
            </w:r>
          </w:p>
        </w:tc>
      </w:tr>
      <w:tr>
        <w:tc>
          <w:tcPr>
            <w:tcW w:type="dxa" w:w="2929"/>
            <w:vAlign w:val="center"/>
          </w:tcPr>
          <w:p>
            <w:pPr>
              <w:jc w:val="center"/>
            </w:pPr>
            <w:r/>
            <w:r>
              <w:rPr>
                <w:rFonts w:ascii="Garamond" w:hAnsi="Garamond"/>
                <w:b w:val="0"/>
                <w:sz w:val="18"/>
              </w:rPr>
              <w:t>5,0–5,9</w:t>
            </w:r>
          </w:p>
        </w:tc>
        <w:tc>
          <w:tcPr>
            <w:tcW w:type="dxa" w:w="2929"/>
            <w:vAlign w:val="center"/>
          </w:tcPr>
          <w:p>
            <w:pPr>
              <w:jc w:val="center"/>
            </w:pPr>
            <w:r/>
            <w:r>
              <w:rPr>
                <w:rFonts w:ascii="Garamond" w:hAnsi="Garamond"/>
                <w:b w:val="0"/>
                <w:sz w:val="18"/>
              </w:rPr>
              <w:t>Suficiente</w:t>
            </w:r>
          </w:p>
        </w:tc>
        <w:tc>
          <w:tcPr>
            <w:tcW w:type="dxa" w:w="2929"/>
            <w:vAlign w:val="center"/>
          </w:tcPr>
          <w:p>
            <w:pPr>
              <w:jc w:val="left"/>
            </w:pPr>
            <w:r/>
            <w:r>
              <w:rPr>
                <w:rFonts w:ascii="Garamond" w:hAnsi="Garamond"/>
                <w:b w:val="0"/>
                <w:sz w:val="18"/>
              </w:rPr>
              <w:t>Aproveitamento parcial, insuficiente para aprovação institucional.</w:t>
            </w:r>
          </w:p>
        </w:tc>
      </w:tr>
      <w:tr>
        <w:tc>
          <w:tcPr>
            <w:tcW w:type="dxa" w:w="2929"/>
            <w:vAlign w:val="center"/>
          </w:tcPr>
          <w:p>
            <w:pPr>
              <w:jc w:val="center"/>
            </w:pPr>
            <w:r/>
            <w:r>
              <w:rPr>
                <w:rFonts w:ascii="Garamond" w:hAnsi="Garamond"/>
                <w:b w:val="0"/>
                <w:sz w:val="18"/>
              </w:rPr>
              <w:t>0,0–4,9</w:t>
            </w:r>
          </w:p>
        </w:tc>
        <w:tc>
          <w:tcPr>
            <w:tcW w:type="dxa" w:w="2929"/>
            <w:vAlign w:val="center"/>
          </w:tcPr>
          <w:p>
            <w:pPr>
              <w:jc w:val="center"/>
            </w:pPr>
            <w:r/>
            <w:r>
              <w:rPr>
                <w:rFonts w:ascii="Garamond" w:hAnsi="Garamond"/>
                <w:b w:val="0"/>
                <w:sz w:val="18"/>
              </w:rPr>
              <w:t>Insuficiente</w:t>
            </w:r>
          </w:p>
        </w:tc>
        <w:tc>
          <w:tcPr>
            <w:tcW w:type="dxa" w:w="2929"/>
            <w:vAlign w:val="center"/>
          </w:tcPr>
          <w:p>
            <w:pPr>
              <w:jc w:val="left"/>
            </w:pPr>
            <w:r/>
            <w:r>
              <w:rPr>
                <w:rFonts w:ascii="Garamond" w:hAnsi="Garamond"/>
                <w:b w:val="0"/>
                <w:sz w:val="18"/>
              </w:rPr>
              <w:t>Não atingiu os objectivos mínimos.</w:t>
            </w:r>
          </w:p>
        </w:tc>
      </w:tr>
    </w:tbl>
    <w:p>
      <w:pPr>
        <w:jc w:val="both"/>
      </w:pPr>
      <w:r>
        <w:rPr>
          <w:rFonts w:ascii="Garamond" w:hAnsi="Garamond"/>
          <w:b w:val="0"/>
          <w:i/>
          <w:sz w:val="24"/>
        </w:rPr>
        <w:t>Média mínima institucional de aprovação: 6,0. Frequência mínima ordinária: 75 %.</w:t>
      </w:r>
    </w:p>
    <w:p>
      <w:pPr>
        <w:keepNext/>
        <w:spacing w:before="240" w:after="80"/>
      </w:pPr>
      <w:r>
        <w:rPr>
          <w:rFonts w:ascii="Garamond" w:hAnsi="Garamond"/>
          <w:b/>
          <w:color w:val="1B3A5C"/>
          <w:sz w:val="26"/>
        </w:rPr>
        <w:t>10.2. Certificação progressiva</w:t>
      </w:r>
    </w:p>
    <w:p>
      <w:pPr>
        <w:spacing w:after="40"/>
        <w:ind w:left="454" w:hanging="283"/>
        <w:jc w:val="both"/>
      </w:pPr>
      <w:r>
        <w:rPr>
          <w:rFonts w:ascii="Garamond" w:hAnsi="Garamond"/>
          <w:b/>
          <w:color w:val="2E7D4F"/>
          <w:sz w:val="24"/>
        </w:rPr>
        <w:t xml:space="preserve">•  </w:t>
      </w:r>
      <w:r>
        <w:rPr>
          <w:rFonts w:ascii="Garamond" w:hAnsi="Garamond"/>
          <w:sz w:val="24"/>
        </w:rPr>
        <w:t>Certificado de Apostila — quando aplicável à unidade mínima de estudo.</w:t>
      </w:r>
    </w:p>
    <w:p>
      <w:pPr>
        <w:spacing w:after="40"/>
        <w:ind w:left="454" w:hanging="283"/>
        <w:jc w:val="both"/>
      </w:pPr>
      <w:r>
        <w:rPr>
          <w:rFonts w:ascii="Garamond" w:hAnsi="Garamond"/>
          <w:b/>
          <w:color w:val="2E7D4F"/>
          <w:sz w:val="24"/>
        </w:rPr>
        <w:t xml:space="preserve">•  </w:t>
      </w:r>
      <w:r>
        <w:rPr>
          <w:rFonts w:ascii="Garamond" w:hAnsi="Garamond"/>
          <w:sz w:val="24"/>
        </w:rPr>
        <w:t>Certificado de Módulo — após conclusão de conjunto de apostilas.</w:t>
      </w:r>
    </w:p>
    <w:p>
      <w:pPr>
        <w:spacing w:after="40"/>
        <w:ind w:left="454" w:hanging="283"/>
        <w:jc w:val="both"/>
      </w:pPr>
      <w:r>
        <w:rPr>
          <w:rFonts w:ascii="Garamond" w:hAnsi="Garamond"/>
          <w:b/>
          <w:color w:val="2E7D4F"/>
          <w:sz w:val="24"/>
        </w:rPr>
        <w:t xml:space="preserve">•  </w:t>
      </w:r>
      <w:r>
        <w:rPr>
          <w:rFonts w:ascii="Garamond" w:hAnsi="Garamond"/>
          <w:sz w:val="24"/>
        </w:rPr>
        <w:t>Certificado de Curso — após conclusão de módulos e avaliação final.</w:t>
      </w:r>
    </w:p>
    <w:p>
      <w:pPr>
        <w:spacing w:after="40"/>
        <w:ind w:left="454" w:hanging="283"/>
        <w:jc w:val="both"/>
      </w:pPr>
      <w:r>
        <w:rPr>
          <w:rFonts w:ascii="Garamond" w:hAnsi="Garamond"/>
          <w:b/>
          <w:color w:val="2E7D4F"/>
          <w:sz w:val="24"/>
        </w:rPr>
        <w:t xml:space="preserve">•  </w:t>
      </w:r>
      <w:r>
        <w:rPr>
          <w:rFonts w:ascii="Garamond" w:hAnsi="Garamond"/>
          <w:sz w:val="24"/>
        </w:rPr>
        <w:t>Certificado de Escola — após conclusão dos cursos de determinada escola.</w:t>
      </w:r>
    </w:p>
    <w:p>
      <w:pPr>
        <w:spacing w:after="40"/>
        <w:ind w:left="454" w:hanging="283"/>
        <w:jc w:val="both"/>
      </w:pPr>
      <w:r>
        <w:rPr>
          <w:rFonts w:ascii="Garamond" w:hAnsi="Garamond"/>
          <w:b/>
          <w:color w:val="2E7D4F"/>
          <w:sz w:val="24"/>
        </w:rPr>
        <w:t xml:space="preserve">•  </w:t>
      </w:r>
      <w:r>
        <w:rPr>
          <w:rFonts w:ascii="Garamond" w:hAnsi="Garamond"/>
          <w:sz w:val="24"/>
        </w:rPr>
        <w:t>Certificado de Instituto — após conclusão das escolas de um instituto.</w:t>
      </w:r>
    </w:p>
    <w:p>
      <w:pPr>
        <w:spacing w:after="40"/>
        <w:ind w:left="454" w:hanging="283"/>
        <w:jc w:val="both"/>
      </w:pPr>
      <w:r>
        <w:rPr>
          <w:rFonts w:ascii="Garamond" w:hAnsi="Garamond"/>
          <w:b/>
          <w:color w:val="2E7D4F"/>
          <w:sz w:val="24"/>
        </w:rPr>
        <w:t xml:space="preserve">•  </w:t>
      </w:r>
      <w:r>
        <w:rPr>
          <w:rFonts w:ascii="Garamond" w:hAnsi="Garamond"/>
          <w:sz w:val="24"/>
        </w:rPr>
        <w:t>Certificado de Programa — quando o aluno conclui uma trilha/programa integrado.</w:t>
      </w:r>
    </w:p>
    <w:p>
      <w:pPr>
        <w:spacing w:after="40"/>
        <w:ind w:left="454" w:hanging="283"/>
        <w:jc w:val="both"/>
      </w:pPr>
      <w:r>
        <w:rPr>
          <w:rFonts w:ascii="Garamond" w:hAnsi="Garamond"/>
          <w:b/>
          <w:color w:val="2E7D4F"/>
          <w:sz w:val="24"/>
        </w:rPr>
        <w:t xml:space="preserve">•  </w:t>
      </w:r>
      <w:r>
        <w:rPr>
          <w:rFonts w:ascii="Garamond" w:hAnsi="Garamond"/>
          <w:sz w:val="24"/>
        </w:rPr>
        <w:t>Diploma de Formação Completa Epignósis — após conclusão integral prevista.</w:t>
      </w:r>
    </w:p>
    <w:p>
      <w:pPr>
        <w:keepNext/>
        <w:spacing w:before="360" w:after="120"/>
        <w:jc w:val="left"/>
        <w:pBdr>
          <w:bottom w:val="single" w:sz="6" w:space="1" w:color="1B3A5C"/>
        </w:pBdr>
      </w:pPr>
      <w:r>
        <w:rPr>
          <w:rFonts w:ascii="Garamond" w:hAnsi="Garamond"/>
          <w:b/>
          <w:color w:val="1B3A5C"/>
          <w:sz w:val="30"/>
        </w:rPr>
        <w:t>11. CAPÍTULO XI — PERFIS INSTITUCIONAIS</w:t>
      </w:r>
    </w:p>
    <w:p>
      <w:pPr>
        <w:keepNext/>
        <w:spacing w:before="240" w:after="80"/>
      </w:pPr>
      <w:r>
        <w:rPr>
          <w:rFonts w:ascii="Garamond" w:hAnsi="Garamond"/>
          <w:b/>
          <w:color w:val="1B3A5C"/>
          <w:sz w:val="26"/>
        </w:rPr>
        <w:t>11.1. Perfil do aluno Epignósis</w:t>
      </w:r>
    </w:p>
    <w:p>
      <w:pPr>
        <w:spacing w:after="40"/>
        <w:ind w:left="454" w:hanging="283"/>
        <w:jc w:val="both"/>
      </w:pPr>
      <w:r>
        <w:rPr>
          <w:rFonts w:ascii="Garamond" w:hAnsi="Garamond"/>
          <w:b/>
          <w:color w:val="2E7D4F"/>
          <w:sz w:val="24"/>
        </w:rPr>
        <w:t xml:space="preserve">•  </w:t>
      </w:r>
      <w:r>
        <w:rPr>
          <w:rFonts w:ascii="Garamond" w:hAnsi="Garamond"/>
          <w:sz w:val="24"/>
        </w:rPr>
        <w:t>Coração ensinável e reverente diante das Escrituras.</w:t>
      </w:r>
    </w:p>
    <w:p>
      <w:pPr>
        <w:spacing w:after="40"/>
        <w:ind w:left="454" w:hanging="283"/>
        <w:jc w:val="both"/>
      </w:pPr>
      <w:r>
        <w:rPr>
          <w:rFonts w:ascii="Garamond" w:hAnsi="Garamond"/>
          <w:b/>
          <w:color w:val="2E7D4F"/>
          <w:sz w:val="24"/>
        </w:rPr>
        <w:t xml:space="preserve">•  </w:t>
      </w:r>
      <w:r>
        <w:rPr>
          <w:rFonts w:ascii="Garamond" w:hAnsi="Garamond"/>
          <w:sz w:val="24"/>
        </w:rPr>
        <w:t>Disciplina no estudo e na vida devocional.</w:t>
      </w:r>
    </w:p>
    <w:p>
      <w:pPr>
        <w:spacing w:after="40"/>
        <w:ind w:left="454" w:hanging="283"/>
        <w:jc w:val="both"/>
      </w:pPr>
      <w:r>
        <w:rPr>
          <w:rFonts w:ascii="Garamond" w:hAnsi="Garamond"/>
          <w:b/>
          <w:color w:val="2E7D4F"/>
          <w:sz w:val="24"/>
        </w:rPr>
        <w:t xml:space="preserve">•  </w:t>
      </w:r>
      <w:r>
        <w:rPr>
          <w:rFonts w:ascii="Garamond" w:hAnsi="Garamond"/>
          <w:sz w:val="24"/>
        </w:rPr>
        <w:t>Compromisso com a igreja local.</w:t>
      </w:r>
    </w:p>
    <w:p>
      <w:pPr>
        <w:spacing w:after="40"/>
        <w:ind w:left="454" w:hanging="283"/>
        <w:jc w:val="both"/>
      </w:pPr>
      <w:r>
        <w:rPr>
          <w:rFonts w:ascii="Garamond" w:hAnsi="Garamond"/>
          <w:b/>
          <w:color w:val="2E7D4F"/>
          <w:sz w:val="24"/>
        </w:rPr>
        <w:t xml:space="preserve">•  </w:t>
      </w:r>
      <w:r>
        <w:rPr>
          <w:rFonts w:ascii="Garamond" w:hAnsi="Garamond"/>
          <w:sz w:val="24"/>
        </w:rPr>
        <w:t>Honestidade académica e rejeição ao plágio.</w:t>
      </w:r>
    </w:p>
    <w:p>
      <w:pPr>
        <w:spacing w:after="40"/>
        <w:ind w:left="454" w:hanging="283"/>
        <w:jc w:val="both"/>
      </w:pPr>
      <w:r>
        <w:rPr>
          <w:rFonts w:ascii="Garamond" w:hAnsi="Garamond"/>
          <w:b/>
          <w:color w:val="2E7D4F"/>
          <w:sz w:val="24"/>
        </w:rPr>
        <w:t xml:space="preserve">•  </w:t>
      </w:r>
      <w:r>
        <w:rPr>
          <w:rFonts w:ascii="Garamond" w:hAnsi="Garamond"/>
          <w:sz w:val="24"/>
        </w:rPr>
        <w:t>Conduta cristã coerente dentro e fora da Escola.</w:t>
      </w:r>
    </w:p>
    <w:p>
      <w:pPr>
        <w:spacing w:after="40"/>
        <w:ind w:left="454" w:hanging="283"/>
        <w:jc w:val="both"/>
      </w:pPr>
      <w:r>
        <w:rPr>
          <w:rFonts w:ascii="Garamond" w:hAnsi="Garamond"/>
          <w:b/>
          <w:color w:val="2E7D4F"/>
          <w:sz w:val="24"/>
        </w:rPr>
        <w:t xml:space="preserve">•  </w:t>
      </w:r>
      <w:r>
        <w:rPr>
          <w:rFonts w:ascii="Garamond" w:hAnsi="Garamond"/>
          <w:sz w:val="24"/>
        </w:rPr>
        <w:t>Disposição para servir e multiplicar o que aprende.</w:t>
      </w:r>
    </w:p>
    <w:p>
      <w:pPr>
        <w:keepNext/>
        <w:spacing w:before="240" w:after="80"/>
      </w:pPr>
      <w:r>
        <w:rPr>
          <w:rFonts w:ascii="Garamond" w:hAnsi="Garamond"/>
          <w:b/>
          <w:color w:val="1B3A5C"/>
          <w:sz w:val="26"/>
        </w:rPr>
        <w:t>11.2. Perfil do docente Epignósis</w:t>
      </w:r>
    </w:p>
    <w:p>
      <w:pPr>
        <w:spacing w:after="40"/>
        <w:ind w:left="454" w:hanging="283"/>
        <w:jc w:val="both"/>
      </w:pPr>
      <w:r>
        <w:rPr>
          <w:rFonts w:ascii="Garamond" w:hAnsi="Garamond"/>
          <w:b/>
          <w:color w:val="2E7D4F"/>
          <w:sz w:val="24"/>
        </w:rPr>
        <w:t xml:space="preserve">•  </w:t>
      </w:r>
      <w:r>
        <w:rPr>
          <w:rFonts w:ascii="Garamond" w:hAnsi="Garamond"/>
          <w:sz w:val="24"/>
        </w:rPr>
        <w:t>Vocação reconhecida para ensinar.</w:t>
      </w:r>
    </w:p>
    <w:p>
      <w:pPr>
        <w:spacing w:after="40"/>
        <w:ind w:left="454" w:hanging="283"/>
        <w:jc w:val="both"/>
      </w:pPr>
      <w:r>
        <w:rPr>
          <w:rFonts w:ascii="Garamond" w:hAnsi="Garamond"/>
          <w:b/>
          <w:color w:val="2E7D4F"/>
          <w:sz w:val="24"/>
        </w:rPr>
        <w:t xml:space="preserve">•  </w:t>
      </w:r>
      <w:r>
        <w:rPr>
          <w:rFonts w:ascii="Garamond" w:hAnsi="Garamond"/>
          <w:sz w:val="24"/>
        </w:rPr>
        <w:t>Adesão formal à Declaração de Fé Institucional.</w:t>
      </w:r>
    </w:p>
    <w:p>
      <w:pPr>
        <w:spacing w:after="40"/>
        <w:ind w:left="454" w:hanging="283"/>
        <w:jc w:val="both"/>
      </w:pPr>
      <w:r>
        <w:rPr>
          <w:rFonts w:ascii="Garamond" w:hAnsi="Garamond"/>
          <w:b/>
          <w:color w:val="2E7D4F"/>
          <w:sz w:val="24"/>
        </w:rPr>
        <w:t xml:space="preserve">•  </w:t>
      </w:r>
      <w:r>
        <w:rPr>
          <w:rFonts w:ascii="Garamond" w:hAnsi="Garamond"/>
          <w:sz w:val="24"/>
        </w:rPr>
        <w:t>Preparo bíblico-teológico compatível com a matéria ensinada.</w:t>
      </w:r>
    </w:p>
    <w:p>
      <w:pPr>
        <w:spacing w:after="40"/>
        <w:ind w:left="454" w:hanging="283"/>
        <w:jc w:val="both"/>
      </w:pPr>
      <w:r>
        <w:rPr>
          <w:rFonts w:ascii="Garamond" w:hAnsi="Garamond"/>
          <w:b/>
          <w:color w:val="2E7D4F"/>
          <w:sz w:val="24"/>
        </w:rPr>
        <w:t xml:space="preserve">•  </w:t>
      </w:r>
      <w:r>
        <w:rPr>
          <w:rFonts w:ascii="Garamond" w:hAnsi="Garamond"/>
          <w:sz w:val="24"/>
        </w:rPr>
        <w:t>Vida espiritual e testemunho público coerentes.</w:t>
      </w:r>
    </w:p>
    <w:p>
      <w:pPr>
        <w:spacing w:after="40"/>
        <w:ind w:left="454" w:hanging="283"/>
        <w:jc w:val="both"/>
      </w:pPr>
      <w:r>
        <w:rPr>
          <w:rFonts w:ascii="Garamond" w:hAnsi="Garamond"/>
          <w:b/>
          <w:color w:val="2E7D4F"/>
          <w:sz w:val="24"/>
        </w:rPr>
        <w:t xml:space="preserve">•  </w:t>
      </w:r>
      <w:r>
        <w:rPr>
          <w:rFonts w:ascii="Garamond" w:hAnsi="Garamond"/>
          <w:sz w:val="24"/>
        </w:rPr>
        <w:t>Capacidade didáctica, pastoralidade e humildade.</w:t>
      </w:r>
    </w:p>
    <w:p>
      <w:pPr>
        <w:spacing w:after="40"/>
        <w:ind w:left="454" w:hanging="283"/>
        <w:jc w:val="both"/>
      </w:pPr>
      <w:r>
        <w:rPr>
          <w:rFonts w:ascii="Garamond" w:hAnsi="Garamond"/>
          <w:b/>
          <w:color w:val="2E7D4F"/>
          <w:sz w:val="24"/>
        </w:rPr>
        <w:t xml:space="preserve">•  </w:t>
      </w:r>
      <w:r>
        <w:rPr>
          <w:rFonts w:ascii="Garamond" w:hAnsi="Garamond"/>
          <w:sz w:val="24"/>
        </w:rPr>
        <w:t>Submissão aos processos de revisão pedagógica e doutrinária.</w:t>
      </w:r>
    </w:p>
    <w:p>
      <w:pPr>
        <w:spacing w:before="120" w:after="120"/>
        <w:ind w:left="850" w:right="567"/>
        <w:jc w:val="both"/>
      </w:pPr>
      <w:r>
        <w:rPr>
          <w:rFonts w:ascii="Garamond" w:hAnsi="Garamond"/>
          <w:i/>
          <w:color w:val="555555"/>
          <w:sz w:val="22"/>
        </w:rPr>
        <w:t>“E o que de mim, entre muitas testemunhas, ouviste, confia-o a homens fiéis, que sejam idóneos para também ensinarem os outros.”</w:t>
      </w:r>
      <w:r>
        <w:rPr>
          <w:rFonts w:ascii="Garamond" w:hAnsi="Garamond"/>
          <w:i/>
          <w:color w:val="2E7D4F"/>
          <w:sz w:val="20"/>
        </w:rPr>
        <w:t xml:space="preserve">  (2 Timóteo 2.2, ARC)</w:t>
      </w:r>
    </w:p>
    <w:p>
      <w:pPr>
        <w:keepNext/>
        <w:spacing w:before="360" w:after="120"/>
        <w:jc w:val="left"/>
        <w:pBdr>
          <w:bottom w:val="single" w:sz="6" w:space="1" w:color="1B3A5C"/>
        </w:pBdr>
      </w:pPr>
      <w:r>
        <w:rPr>
          <w:rFonts w:ascii="Garamond" w:hAnsi="Garamond"/>
          <w:b/>
          <w:color w:val="1B3A5C"/>
          <w:sz w:val="30"/>
        </w:rPr>
        <w:t>12. CAPÍTULO XII — IDENTIDADE ORGANIZACIONAL E GOVERNANÇA</w:t>
      </w:r>
    </w:p>
    <w:p>
      <w:pPr>
        <w:jc w:val="both"/>
      </w:pPr>
      <w:r>
        <w:rPr>
          <w:rFonts w:ascii="Garamond" w:hAnsi="Garamond"/>
          <w:b w:val="0"/>
          <w:i w:val="0"/>
          <w:sz w:val="24"/>
        </w:rPr>
        <w:t>A governança da EBE deve preservar a unidade doutrinária, a qualidade pedagógica, a organização académica, a integridade administrativa e o cuidado espiritual dos alunos e docentes.</w:t>
      </w:r>
    </w:p>
    <w:tbl>
      <w:tblPr>
        <w:tblW w:type="auto" w:w="0"/>
        <w:jc w:val="center"/>
        <w:tblLook w:firstColumn="1" w:firstRow="1" w:lastColumn="0" w:lastRow="0" w:noHBand="0" w:noVBand="1" w:val="04A0"/>
      </w:tblPr>
      <w:tblGrid>
        <w:gridCol w:w="4394"/>
        <w:gridCol w:w="4394"/>
      </w:tblGrid>
      <w:tr>
        <w:tc>
          <w:tcPr>
            <w:tcW w:type="dxa" w:w="4394"/>
            <w:shd w:val="clear" w:color="auto" w:fill="1B3A5C"/>
            <w:vAlign w:val="center"/>
          </w:tcPr>
          <w:p>
            <w:pPr>
              <w:jc w:val="center"/>
            </w:pPr>
            <w:r/>
            <w:r>
              <w:rPr>
                <w:rFonts w:ascii="Garamond" w:hAnsi="Garamond"/>
                <w:b/>
                <w:color w:val="FFFFFF"/>
                <w:sz w:val="18"/>
              </w:rPr>
              <w:t>Órgão / função</w:t>
            </w:r>
          </w:p>
        </w:tc>
        <w:tc>
          <w:tcPr>
            <w:tcW w:type="dxa" w:w="4394"/>
            <w:shd w:val="clear" w:color="auto" w:fill="1B3A5C"/>
            <w:vAlign w:val="center"/>
          </w:tcPr>
          <w:p>
            <w:pPr>
              <w:jc w:val="center"/>
            </w:pPr>
            <w:r/>
            <w:r>
              <w:rPr>
                <w:rFonts w:ascii="Garamond" w:hAnsi="Garamond"/>
                <w:b/>
                <w:color w:val="FFFFFF"/>
                <w:sz w:val="18"/>
              </w:rPr>
              <w:t>Responsabilidade essencial</w:t>
            </w:r>
          </w:p>
        </w:tc>
      </w:tr>
      <w:tr>
        <w:tc>
          <w:tcPr>
            <w:tcW w:type="dxa" w:w="4394"/>
            <w:vAlign w:val="center"/>
          </w:tcPr>
          <w:p>
            <w:pPr>
              <w:jc w:val="left"/>
            </w:pPr>
            <w:r/>
            <w:r>
              <w:rPr>
                <w:rFonts w:ascii="Garamond" w:hAnsi="Garamond"/>
                <w:b/>
                <w:color w:val="1B3A5C"/>
                <w:sz w:val="18"/>
              </w:rPr>
              <w:t>Direcção Geral</w:t>
            </w:r>
          </w:p>
        </w:tc>
        <w:tc>
          <w:tcPr>
            <w:tcW w:type="dxa" w:w="4394"/>
            <w:vAlign w:val="center"/>
          </w:tcPr>
          <w:p>
            <w:pPr>
              <w:jc w:val="left"/>
            </w:pPr>
            <w:r/>
            <w:r>
              <w:rPr>
                <w:rFonts w:ascii="Garamond" w:hAnsi="Garamond"/>
                <w:b w:val="0"/>
                <w:sz w:val="18"/>
              </w:rPr>
              <w:t>Guardar a visão, representar institucionalmente a Escola e supervisionar o cumprimento da missão.</w:t>
            </w:r>
          </w:p>
        </w:tc>
      </w:tr>
      <w:tr>
        <w:tc>
          <w:tcPr>
            <w:tcW w:type="dxa" w:w="4394"/>
            <w:vAlign w:val="center"/>
          </w:tcPr>
          <w:p>
            <w:pPr>
              <w:jc w:val="left"/>
            </w:pPr>
            <w:r/>
            <w:r>
              <w:rPr>
                <w:rFonts w:ascii="Garamond" w:hAnsi="Garamond"/>
                <w:b/>
                <w:color w:val="1B3A5C"/>
                <w:sz w:val="18"/>
              </w:rPr>
              <w:t>Coordenação Acadêmica</w:t>
            </w:r>
          </w:p>
        </w:tc>
        <w:tc>
          <w:tcPr>
            <w:tcW w:type="dxa" w:w="4394"/>
            <w:vAlign w:val="center"/>
          </w:tcPr>
          <w:p>
            <w:pPr>
              <w:jc w:val="left"/>
            </w:pPr>
            <w:r/>
            <w:r>
              <w:rPr>
                <w:rFonts w:ascii="Garamond" w:hAnsi="Garamond"/>
                <w:b w:val="0"/>
                <w:sz w:val="18"/>
              </w:rPr>
              <w:t>Gerir calendário, turmas, matrículas, frequência, avaliações, certificações e histórico escolar.</w:t>
            </w:r>
          </w:p>
        </w:tc>
      </w:tr>
      <w:tr>
        <w:tc>
          <w:tcPr>
            <w:tcW w:type="dxa" w:w="4394"/>
            <w:vAlign w:val="center"/>
          </w:tcPr>
          <w:p>
            <w:pPr>
              <w:jc w:val="left"/>
            </w:pPr>
            <w:r/>
            <w:r>
              <w:rPr>
                <w:rFonts w:ascii="Garamond" w:hAnsi="Garamond"/>
                <w:b/>
                <w:color w:val="1B3A5C"/>
                <w:sz w:val="18"/>
              </w:rPr>
              <w:t>Coordenação Pedagógica</w:t>
            </w:r>
          </w:p>
        </w:tc>
        <w:tc>
          <w:tcPr>
            <w:tcW w:type="dxa" w:w="4394"/>
            <w:vAlign w:val="center"/>
          </w:tcPr>
          <w:p>
            <w:pPr>
              <w:jc w:val="left"/>
            </w:pPr>
            <w:r/>
            <w:r>
              <w:rPr>
                <w:rFonts w:ascii="Garamond" w:hAnsi="Garamond"/>
                <w:b w:val="0"/>
                <w:sz w:val="18"/>
              </w:rPr>
              <w:t>Acompanhar metodologia, planos de aula, produção de materiais e formação docente.</w:t>
            </w:r>
          </w:p>
        </w:tc>
      </w:tr>
      <w:tr>
        <w:tc>
          <w:tcPr>
            <w:tcW w:type="dxa" w:w="4394"/>
            <w:vAlign w:val="center"/>
          </w:tcPr>
          <w:p>
            <w:pPr>
              <w:jc w:val="left"/>
            </w:pPr>
            <w:r/>
            <w:r>
              <w:rPr>
                <w:rFonts w:ascii="Garamond" w:hAnsi="Garamond"/>
                <w:b/>
                <w:color w:val="1B3A5C"/>
                <w:sz w:val="18"/>
              </w:rPr>
              <w:t>Coordenação Espiritual e Pastoral</w:t>
            </w:r>
          </w:p>
        </w:tc>
        <w:tc>
          <w:tcPr>
            <w:tcW w:type="dxa" w:w="4394"/>
            <w:vAlign w:val="center"/>
          </w:tcPr>
          <w:p>
            <w:pPr>
              <w:jc w:val="left"/>
            </w:pPr>
            <w:r/>
            <w:r>
              <w:rPr>
                <w:rFonts w:ascii="Garamond" w:hAnsi="Garamond"/>
                <w:b w:val="0"/>
                <w:sz w:val="18"/>
              </w:rPr>
              <w:t>Acompanhar espiritualmente alunos e docentes, especialmente em situações de crise e disciplina restauradora.</w:t>
            </w:r>
          </w:p>
        </w:tc>
      </w:tr>
      <w:tr>
        <w:tc>
          <w:tcPr>
            <w:tcW w:type="dxa" w:w="4394"/>
            <w:vAlign w:val="center"/>
          </w:tcPr>
          <w:p>
            <w:pPr>
              <w:jc w:val="left"/>
            </w:pPr>
            <w:r/>
            <w:r>
              <w:rPr>
                <w:rFonts w:ascii="Garamond" w:hAnsi="Garamond"/>
                <w:b/>
                <w:color w:val="1B3A5C"/>
                <w:sz w:val="18"/>
              </w:rPr>
              <w:t>Conselho Doutrinário</w:t>
            </w:r>
          </w:p>
        </w:tc>
        <w:tc>
          <w:tcPr>
            <w:tcW w:type="dxa" w:w="4394"/>
            <w:vAlign w:val="center"/>
          </w:tcPr>
          <w:p>
            <w:pPr>
              <w:jc w:val="left"/>
            </w:pPr>
            <w:r/>
            <w:r>
              <w:rPr>
                <w:rFonts w:ascii="Garamond" w:hAnsi="Garamond"/>
                <w:b w:val="0"/>
                <w:sz w:val="18"/>
              </w:rPr>
              <w:t>Guardar a fidelidade bíblica e revisar conteúdos, apostilas, cursos e declarações confessionais.</w:t>
            </w:r>
          </w:p>
        </w:tc>
      </w:tr>
      <w:tr>
        <w:tc>
          <w:tcPr>
            <w:tcW w:type="dxa" w:w="4394"/>
            <w:vAlign w:val="center"/>
          </w:tcPr>
          <w:p>
            <w:pPr>
              <w:jc w:val="left"/>
            </w:pPr>
            <w:r/>
            <w:r>
              <w:rPr>
                <w:rFonts w:ascii="Garamond" w:hAnsi="Garamond"/>
                <w:b/>
                <w:color w:val="1B3A5C"/>
                <w:sz w:val="18"/>
              </w:rPr>
              <w:t>Secretaria Acadêmica</w:t>
            </w:r>
          </w:p>
        </w:tc>
        <w:tc>
          <w:tcPr>
            <w:tcW w:type="dxa" w:w="4394"/>
            <w:vAlign w:val="center"/>
          </w:tcPr>
          <w:p>
            <w:pPr>
              <w:jc w:val="left"/>
            </w:pPr>
            <w:r/>
            <w:r>
              <w:rPr>
                <w:rFonts w:ascii="Garamond" w:hAnsi="Garamond"/>
                <w:b w:val="0"/>
                <w:sz w:val="18"/>
              </w:rPr>
              <w:t>Manter registos, documentos, pautas, listas de presença e emissão documental.</w:t>
            </w:r>
          </w:p>
        </w:tc>
      </w:tr>
    </w:tbl>
    <w:p>
      <w:pPr>
        <w:keepNext/>
        <w:spacing w:before="360" w:after="120"/>
        <w:jc w:val="left"/>
        <w:pBdr>
          <w:bottom w:val="single" w:sz="6" w:space="1" w:color="1B3A5C"/>
        </w:pBdr>
      </w:pPr>
      <w:r>
        <w:rPr>
          <w:rFonts w:ascii="Garamond" w:hAnsi="Garamond"/>
          <w:b/>
          <w:color w:val="1B3A5C"/>
          <w:sz w:val="30"/>
        </w:rPr>
        <w:t>13. CAPÍTULO XIII — IDENTIDADE VISUAL E COMUNICAÇÃO INSTITUCIONAL</w:t>
      </w:r>
    </w:p>
    <w:p>
      <w:pPr>
        <w:jc w:val="both"/>
      </w:pPr>
      <w:r>
        <w:rPr>
          <w:rFonts w:ascii="Garamond" w:hAnsi="Garamond"/>
          <w:b w:val="0"/>
          <w:i w:val="0"/>
          <w:sz w:val="24"/>
        </w:rPr>
        <w:t>A identidade visual da Escola Bíblica Epignósis deve comunicar seriedade académica, profundidade bíblica, vida espiritual e serviço ao Reino. A marca não é mero ornamento; é sinal visível de uma vocação espiritual e institucional.</w:t>
      </w:r>
    </w:p>
    <w:p>
      <w:pPr>
        <w:keepNext/>
        <w:spacing w:before="240" w:after="80"/>
      </w:pPr>
      <w:r>
        <w:rPr>
          <w:rFonts w:ascii="Garamond" w:hAnsi="Garamond"/>
          <w:b/>
          <w:color w:val="1B3A5C"/>
          <w:sz w:val="26"/>
        </w:rPr>
        <w:t>13.1. Logotipo</w:t>
      </w:r>
    </w:p>
    <w:p>
      <w:pPr>
        <w:jc w:val="both"/>
      </w:pPr>
      <w:r>
        <w:rPr>
          <w:rFonts w:ascii="Garamond" w:hAnsi="Garamond"/>
          <w:b w:val="0"/>
          <w:i w:val="0"/>
          <w:sz w:val="24"/>
        </w:rPr>
        <w:t>O logotipo oficial da EBE integra elementos visuais que comunicam a identidade da Escola: livro aberto, cruz, monograma EBE, cores institucionais e a designação Escola Bíblica Epignósis. O seu uso deve respeitar proporção, legibilidade, cores oficiais e contexto de aplicação.</w:t>
      </w:r>
    </w:p>
    <w:p>
      <w:pPr>
        <w:jc w:val="center"/>
      </w:pPr>
      <w:r>
        <w:drawing>
          <wp:inline xmlns:a="http://schemas.openxmlformats.org/drawingml/2006/main" xmlns:pic="http://schemas.openxmlformats.org/drawingml/2006/picture">
            <wp:extent cx="1620000" cy="1620000"/>
            <wp:docPr id="2" name="Picture 2"/>
            <wp:cNvGraphicFramePr>
              <a:graphicFrameLocks noChangeAspect="1"/>
            </wp:cNvGraphicFramePr>
            <a:graphic>
              <a:graphicData uri="http://schemas.openxmlformats.org/drawingml/2006/picture">
                <pic:pic>
                  <pic:nvPicPr>
                    <pic:cNvPr id="0" name="logo_pequeno.png"/>
                    <pic:cNvPicPr/>
                  </pic:nvPicPr>
                  <pic:blipFill>
                    <a:blip r:embed="rId12"/>
                    <a:stretch>
                      <a:fillRect/>
                    </a:stretch>
                  </pic:blipFill>
                  <pic:spPr>
                    <a:xfrm>
                      <a:off x="0" y="0"/>
                      <a:ext cx="1620000" cy="1620000"/>
                    </a:xfrm>
                    <a:prstGeom prst="rect"/>
                  </pic:spPr>
                </pic:pic>
              </a:graphicData>
            </a:graphic>
          </wp:inline>
        </w:drawing>
      </w:r>
    </w:p>
    <w:p>
      <w:pPr>
        <w:keepNext/>
        <w:spacing w:before="240" w:after="80"/>
      </w:pPr>
      <w:r>
        <w:rPr>
          <w:rFonts w:ascii="Garamond" w:hAnsi="Garamond"/>
          <w:b/>
          <w:color w:val="1B3A5C"/>
          <w:sz w:val="26"/>
        </w:rPr>
        <w:t>13.2. Paleta institucional</w:t>
      </w:r>
    </w:p>
    <w:tbl>
      <w:tblPr>
        <w:tblW w:type="auto" w:w="0"/>
        <w:jc w:val="center"/>
        <w:tblLook w:firstColumn="1" w:firstRow="1" w:lastColumn="0" w:lastRow="0" w:noHBand="0" w:noVBand="1" w:val="04A0"/>
      </w:tblPr>
      <w:tblGrid>
        <w:gridCol w:w="2197"/>
        <w:gridCol w:w="2197"/>
        <w:gridCol w:w="2197"/>
        <w:gridCol w:w="2197"/>
      </w:tblGrid>
      <w:tr>
        <w:tc>
          <w:tcPr>
            <w:tcW w:type="dxa" w:w="2197"/>
            <w:shd w:val="clear" w:color="auto" w:fill="1B3A5C"/>
            <w:vAlign w:val="center"/>
          </w:tcPr>
          <w:p>
            <w:pPr>
              <w:jc w:val="center"/>
            </w:pPr>
            <w:r/>
            <w:r>
              <w:rPr>
                <w:rFonts w:ascii="Garamond" w:hAnsi="Garamond"/>
                <w:b/>
                <w:color w:val="FFFFFF"/>
                <w:sz w:val="18"/>
              </w:rPr>
              <w:t>Cor</w:t>
            </w:r>
          </w:p>
        </w:tc>
        <w:tc>
          <w:tcPr>
            <w:tcW w:type="dxa" w:w="2197"/>
            <w:shd w:val="clear" w:color="auto" w:fill="1B3A5C"/>
            <w:vAlign w:val="center"/>
          </w:tcPr>
          <w:p>
            <w:pPr>
              <w:jc w:val="center"/>
            </w:pPr>
            <w:r/>
            <w:r>
              <w:rPr>
                <w:rFonts w:ascii="Garamond" w:hAnsi="Garamond"/>
                <w:b/>
                <w:color w:val="FFFFFF"/>
                <w:sz w:val="18"/>
              </w:rPr>
              <w:t>HEX</w:t>
            </w:r>
          </w:p>
        </w:tc>
        <w:tc>
          <w:tcPr>
            <w:tcW w:type="dxa" w:w="2197"/>
            <w:shd w:val="clear" w:color="auto" w:fill="1B3A5C"/>
            <w:vAlign w:val="center"/>
          </w:tcPr>
          <w:p>
            <w:pPr>
              <w:jc w:val="center"/>
            </w:pPr>
            <w:r/>
            <w:r>
              <w:rPr>
                <w:rFonts w:ascii="Garamond" w:hAnsi="Garamond"/>
                <w:b/>
                <w:color w:val="FFFFFF"/>
                <w:sz w:val="18"/>
              </w:rPr>
              <w:t>Função</w:t>
            </w:r>
          </w:p>
        </w:tc>
        <w:tc>
          <w:tcPr>
            <w:tcW w:type="dxa" w:w="2197"/>
            <w:shd w:val="clear" w:color="auto" w:fill="1B3A5C"/>
            <w:vAlign w:val="center"/>
          </w:tcPr>
          <w:p>
            <w:pPr>
              <w:jc w:val="center"/>
            </w:pPr>
            <w:r/>
            <w:r>
              <w:rPr>
                <w:rFonts w:ascii="Garamond" w:hAnsi="Garamond"/>
                <w:b/>
                <w:color w:val="FFFFFF"/>
                <w:sz w:val="18"/>
              </w:rPr>
              <w:t>Amostra</w:t>
            </w:r>
          </w:p>
        </w:tc>
      </w:tr>
      <w:tr>
        <w:tc>
          <w:tcPr>
            <w:tcW w:type="dxa" w:w="2197"/>
            <w:vAlign w:val="center"/>
          </w:tcPr>
          <w:p>
            <w:pPr>
              <w:jc w:val="left"/>
            </w:pPr>
            <w:r/>
            <w:r>
              <w:rPr>
                <w:rFonts w:ascii="Garamond" w:hAnsi="Garamond"/>
                <w:b/>
                <w:color w:val="1B3A5C"/>
                <w:sz w:val="18"/>
              </w:rPr>
              <w:t>Azul-marinho</w:t>
            </w:r>
          </w:p>
        </w:tc>
        <w:tc>
          <w:tcPr>
            <w:tcW w:type="dxa" w:w="2197"/>
            <w:vAlign w:val="center"/>
          </w:tcPr>
          <w:p>
            <w:pPr>
              <w:jc w:val="center"/>
            </w:pPr>
            <w:r/>
            <w:r>
              <w:rPr>
                <w:rFonts w:ascii="Garamond" w:hAnsi="Garamond"/>
                <w:b w:val="0"/>
                <w:sz w:val="18"/>
              </w:rPr>
              <w:t>#1B3A5C</w:t>
            </w:r>
          </w:p>
        </w:tc>
        <w:tc>
          <w:tcPr>
            <w:tcW w:type="dxa" w:w="2197"/>
            <w:vAlign w:val="center"/>
          </w:tcPr>
          <w:p>
            <w:pPr>
              <w:jc w:val="left"/>
            </w:pPr>
            <w:r/>
            <w:r>
              <w:rPr>
                <w:rFonts w:ascii="Garamond" w:hAnsi="Garamond"/>
                <w:b w:val="0"/>
                <w:sz w:val="18"/>
              </w:rPr>
              <w:t>Cor primária: títulos, capas, bordas, autoridade académica.</w:t>
            </w:r>
          </w:p>
        </w:tc>
        <w:tc>
          <w:tcPr>
            <w:tcW w:type="dxa" w:w="2197"/>
            <w:shd w:val="clear" w:color="auto" w:fill="1B3A5C"/>
            <w:vAlign w:val="center"/>
          </w:tcPr>
          <w:p>
            <w:pPr>
              <w:jc w:val="left"/>
            </w:pPr>
            <w:r/>
            <w:r>
              <w:rPr>
                <w:rFonts w:ascii="Garamond" w:hAnsi="Garamond"/>
                <w:b w:val="0"/>
                <w:sz w:val="18"/>
              </w:rPr>
              <w:t xml:space="preserve"> </w:t>
            </w:r>
          </w:p>
        </w:tc>
      </w:tr>
      <w:tr>
        <w:tc>
          <w:tcPr>
            <w:tcW w:type="dxa" w:w="2197"/>
            <w:vAlign w:val="center"/>
          </w:tcPr>
          <w:p>
            <w:pPr>
              <w:jc w:val="left"/>
            </w:pPr>
            <w:r/>
            <w:r>
              <w:rPr>
                <w:rFonts w:ascii="Garamond" w:hAnsi="Garamond"/>
                <w:b/>
                <w:color w:val="1B3A5C"/>
                <w:sz w:val="18"/>
              </w:rPr>
              <w:t>Verde institucional</w:t>
            </w:r>
          </w:p>
        </w:tc>
        <w:tc>
          <w:tcPr>
            <w:tcW w:type="dxa" w:w="2197"/>
            <w:vAlign w:val="center"/>
          </w:tcPr>
          <w:p>
            <w:pPr>
              <w:jc w:val="center"/>
            </w:pPr>
            <w:r/>
            <w:r>
              <w:rPr>
                <w:rFonts w:ascii="Garamond" w:hAnsi="Garamond"/>
                <w:b w:val="0"/>
                <w:sz w:val="18"/>
              </w:rPr>
              <w:t>#2E7D4F</w:t>
            </w:r>
          </w:p>
        </w:tc>
        <w:tc>
          <w:tcPr>
            <w:tcW w:type="dxa" w:w="2197"/>
            <w:vAlign w:val="center"/>
          </w:tcPr>
          <w:p>
            <w:pPr>
              <w:jc w:val="left"/>
            </w:pPr>
            <w:r/>
            <w:r>
              <w:rPr>
                <w:rFonts w:ascii="Garamond" w:hAnsi="Garamond"/>
                <w:b w:val="0"/>
                <w:sz w:val="18"/>
              </w:rPr>
              <w:t>Cor secundária: subtítulos, linhas, elementos de vida e crescimento.</w:t>
            </w:r>
          </w:p>
        </w:tc>
        <w:tc>
          <w:tcPr>
            <w:tcW w:type="dxa" w:w="2197"/>
            <w:shd w:val="clear" w:color="auto" w:fill="2E7D4F"/>
            <w:vAlign w:val="center"/>
          </w:tcPr>
          <w:p>
            <w:pPr>
              <w:jc w:val="left"/>
            </w:pPr>
            <w:r/>
            <w:r>
              <w:rPr>
                <w:rFonts w:ascii="Garamond" w:hAnsi="Garamond"/>
                <w:b w:val="0"/>
                <w:sz w:val="18"/>
              </w:rPr>
              <w:t xml:space="preserve"> </w:t>
            </w:r>
          </w:p>
        </w:tc>
      </w:tr>
      <w:tr>
        <w:tc>
          <w:tcPr>
            <w:tcW w:type="dxa" w:w="2197"/>
            <w:vAlign w:val="center"/>
          </w:tcPr>
          <w:p>
            <w:pPr>
              <w:jc w:val="left"/>
            </w:pPr>
            <w:r/>
            <w:r>
              <w:rPr>
                <w:rFonts w:ascii="Garamond" w:hAnsi="Garamond"/>
                <w:b/>
                <w:color w:val="1B3A5C"/>
                <w:sz w:val="18"/>
              </w:rPr>
              <w:t>Dourado</w:t>
            </w:r>
          </w:p>
        </w:tc>
        <w:tc>
          <w:tcPr>
            <w:tcW w:type="dxa" w:w="2197"/>
            <w:vAlign w:val="center"/>
          </w:tcPr>
          <w:p>
            <w:pPr>
              <w:jc w:val="center"/>
            </w:pPr>
            <w:r/>
            <w:r>
              <w:rPr>
                <w:rFonts w:ascii="Garamond" w:hAnsi="Garamond"/>
                <w:b w:val="0"/>
                <w:sz w:val="18"/>
              </w:rPr>
              <w:t>#C9A14B</w:t>
            </w:r>
          </w:p>
        </w:tc>
        <w:tc>
          <w:tcPr>
            <w:tcW w:type="dxa" w:w="2197"/>
            <w:vAlign w:val="center"/>
          </w:tcPr>
          <w:p>
            <w:pPr>
              <w:jc w:val="left"/>
            </w:pPr>
            <w:r/>
            <w:r>
              <w:rPr>
                <w:rFonts w:ascii="Garamond" w:hAnsi="Garamond"/>
                <w:b w:val="0"/>
                <w:sz w:val="18"/>
              </w:rPr>
              <w:t>Cor terciária: selos, destaques solenes e reconhecimento.</w:t>
            </w:r>
          </w:p>
        </w:tc>
        <w:tc>
          <w:tcPr>
            <w:tcW w:type="dxa" w:w="2197"/>
            <w:shd w:val="clear" w:color="auto" w:fill="C9A14B"/>
            <w:vAlign w:val="center"/>
          </w:tcPr>
          <w:p>
            <w:pPr>
              <w:jc w:val="left"/>
            </w:pPr>
            <w:r/>
            <w:r>
              <w:rPr>
                <w:rFonts w:ascii="Garamond" w:hAnsi="Garamond"/>
                <w:b w:val="0"/>
                <w:sz w:val="18"/>
              </w:rPr>
              <w:t xml:space="preserve"> </w:t>
            </w:r>
          </w:p>
        </w:tc>
      </w:tr>
      <w:tr>
        <w:tc>
          <w:tcPr>
            <w:tcW w:type="dxa" w:w="2197"/>
            <w:vAlign w:val="center"/>
          </w:tcPr>
          <w:p>
            <w:pPr>
              <w:jc w:val="left"/>
            </w:pPr>
            <w:r/>
            <w:r>
              <w:rPr>
                <w:rFonts w:ascii="Garamond" w:hAnsi="Garamond"/>
                <w:b/>
                <w:color w:val="1B3A5C"/>
                <w:sz w:val="18"/>
              </w:rPr>
              <w:t>Verde claro</w:t>
            </w:r>
          </w:p>
        </w:tc>
        <w:tc>
          <w:tcPr>
            <w:tcW w:type="dxa" w:w="2197"/>
            <w:vAlign w:val="center"/>
          </w:tcPr>
          <w:p>
            <w:pPr>
              <w:jc w:val="center"/>
            </w:pPr>
            <w:r/>
            <w:r>
              <w:rPr>
                <w:rFonts w:ascii="Garamond" w:hAnsi="Garamond"/>
                <w:b w:val="0"/>
                <w:sz w:val="18"/>
              </w:rPr>
              <w:t>#E8F1EC</w:t>
            </w:r>
          </w:p>
        </w:tc>
        <w:tc>
          <w:tcPr>
            <w:tcW w:type="dxa" w:w="2197"/>
            <w:vAlign w:val="center"/>
          </w:tcPr>
          <w:p>
            <w:pPr>
              <w:jc w:val="left"/>
            </w:pPr>
            <w:r/>
            <w:r>
              <w:rPr>
                <w:rFonts w:ascii="Garamond" w:hAnsi="Garamond"/>
                <w:b w:val="0"/>
                <w:sz w:val="18"/>
              </w:rPr>
              <w:t>Fundo discreto para tabelas e quadros pedagógicos.</w:t>
            </w:r>
          </w:p>
        </w:tc>
        <w:tc>
          <w:tcPr>
            <w:tcW w:type="dxa" w:w="2197"/>
            <w:shd w:val="clear" w:color="auto" w:fill="E8F1EC"/>
            <w:vAlign w:val="center"/>
          </w:tcPr>
          <w:p>
            <w:pPr>
              <w:jc w:val="left"/>
            </w:pPr>
            <w:r/>
            <w:r>
              <w:rPr>
                <w:rFonts w:ascii="Garamond" w:hAnsi="Garamond"/>
                <w:b w:val="0"/>
                <w:sz w:val="18"/>
              </w:rPr>
              <w:t xml:space="preserve"> </w:t>
            </w:r>
          </w:p>
        </w:tc>
      </w:tr>
    </w:tbl>
    <w:p>
      <w:pPr>
        <w:keepNext/>
        <w:spacing w:before="240" w:after="80"/>
      </w:pPr>
      <w:r>
        <w:rPr>
          <w:rFonts w:ascii="Garamond" w:hAnsi="Garamond"/>
          <w:b/>
          <w:color w:val="1B3A5C"/>
          <w:sz w:val="26"/>
        </w:rPr>
        <w:t>13.3. Tipografia</w:t>
      </w:r>
    </w:p>
    <w:p>
      <w:pPr>
        <w:jc w:val="both"/>
      </w:pPr>
      <w:r>
        <w:rPr>
          <w:rFonts w:ascii="Garamond" w:hAnsi="Garamond"/>
          <w:b w:val="0"/>
          <w:i w:val="0"/>
          <w:sz w:val="24"/>
        </w:rPr>
        <w:t>A tipografia oficial adoptada é Garamond, tanto para títulos como para corpo textual, reforçando uma estética académica, clássica, formal e adequada a uma escola bíblica de tradição teológica.</w:t>
      </w:r>
    </w:p>
    <w:p>
      <w:pPr>
        <w:keepNext/>
        <w:spacing w:before="240" w:after="80"/>
      </w:pPr>
      <w:r>
        <w:rPr>
          <w:rFonts w:ascii="Garamond" w:hAnsi="Garamond"/>
          <w:b/>
          <w:color w:val="1B3A5C"/>
          <w:sz w:val="26"/>
        </w:rPr>
        <w:t>13.4. Tom de comunicação</w:t>
      </w:r>
    </w:p>
    <w:p>
      <w:pPr>
        <w:spacing w:after="40"/>
        <w:ind w:left="454" w:hanging="283"/>
        <w:jc w:val="both"/>
      </w:pPr>
      <w:r>
        <w:rPr>
          <w:rFonts w:ascii="Garamond" w:hAnsi="Garamond"/>
          <w:b/>
          <w:color w:val="2E7D4F"/>
          <w:sz w:val="24"/>
        </w:rPr>
        <w:t xml:space="preserve">•  </w:t>
      </w:r>
      <w:r>
        <w:rPr>
          <w:rFonts w:ascii="Garamond" w:hAnsi="Garamond"/>
          <w:sz w:val="24"/>
        </w:rPr>
        <w:t>Académico, mas pastoral.</w:t>
      </w:r>
    </w:p>
    <w:p>
      <w:pPr>
        <w:spacing w:after="40"/>
        <w:ind w:left="454" w:hanging="283"/>
        <w:jc w:val="both"/>
      </w:pPr>
      <w:r>
        <w:rPr>
          <w:rFonts w:ascii="Garamond" w:hAnsi="Garamond"/>
          <w:b/>
          <w:color w:val="2E7D4F"/>
          <w:sz w:val="24"/>
        </w:rPr>
        <w:t xml:space="preserve">•  </w:t>
      </w:r>
      <w:r>
        <w:rPr>
          <w:rFonts w:ascii="Garamond" w:hAnsi="Garamond"/>
          <w:sz w:val="24"/>
        </w:rPr>
        <w:t>Firme na doutrina, mas humilde na postura.</w:t>
      </w:r>
    </w:p>
    <w:p>
      <w:pPr>
        <w:spacing w:after="40"/>
        <w:ind w:left="454" w:hanging="283"/>
        <w:jc w:val="both"/>
      </w:pPr>
      <w:r>
        <w:rPr>
          <w:rFonts w:ascii="Garamond" w:hAnsi="Garamond"/>
          <w:b/>
          <w:color w:val="2E7D4F"/>
          <w:sz w:val="24"/>
        </w:rPr>
        <w:t xml:space="preserve">•  </w:t>
      </w:r>
      <w:r>
        <w:rPr>
          <w:rFonts w:ascii="Garamond" w:hAnsi="Garamond"/>
          <w:sz w:val="24"/>
        </w:rPr>
        <w:t>Fraterno no acolhimento, mas rigoroso na formação.</w:t>
      </w:r>
    </w:p>
    <w:p>
      <w:pPr>
        <w:spacing w:after="40"/>
        <w:ind w:left="454" w:hanging="283"/>
        <w:jc w:val="both"/>
      </w:pPr>
      <w:r>
        <w:rPr>
          <w:rFonts w:ascii="Garamond" w:hAnsi="Garamond"/>
          <w:b/>
          <w:color w:val="2E7D4F"/>
          <w:sz w:val="24"/>
        </w:rPr>
        <w:t xml:space="preserve">•  </w:t>
      </w:r>
      <w:r>
        <w:rPr>
          <w:rFonts w:ascii="Garamond" w:hAnsi="Garamond"/>
          <w:sz w:val="24"/>
        </w:rPr>
        <w:t>Claro, sóbrio, reverente e bíblico.</w:t>
      </w:r>
    </w:p>
    <w:p>
      <w:pPr>
        <w:spacing w:after="40"/>
        <w:ind w:left="454" w:hanging="283"/>
        <w:jc w:val="both"/>
      </w:pPr>
      <w:r>
        <w:rPr>
          <w:rFonts w:ascii="Garamond" w:hAnsi="Garamond"/>
          <w:b/>
          <w:color w:val="2E7D4F"/>
          <w:sz w:val="24"/>
        </w:rPr>
        <w:t xml:space="preserve">•  </w:t>
      </w:r>
      <w:r>
        <w:rPr>
          <w:rFonts w:ascii="Garamond" w:hAnsi="Garamond"/>
          <w:sz w:val="24"/>
        </w:rPr>
        <w:t>Preferencialmente em português europeu/Angola, respeitando a realidade linguística local.</w:t>
      </w:r>
    </w:p>
    <w:p>
      <w:r>
        <w:br w:type="page"/>
      </w:r>
    </w:p>
    <w:p>
      <w:pPr>
        <w:keepNext/>
        <w:spacing w:before="360" w:after="120"/>
        <w:jc w:val="left"/>
        <w:pBdr>
          <w:bottom w:val="single" w:sz="6" w:space="1" w:color="1B3A5C"/>
        </w:pBdr>
      </w:pPr>
      <w:r>
        <w:rPr>
          <w:rFonts w:ascii="Garamond" w:hAnsi="Garamond"/>
          <w:b/>
          <w:color w:val="1B3A5C"/>
          <w:sz w:val="30"/>
        </w:rPr>
        <w:t>14. CAPÍTULO XIV — SISTEMA DOCUMENTAL OFICIAL</w:t>
      </w:r>
    </w:p>
    <w:p>
      <w:pPr>
        <w:jc w:val="both"/>
      </w:pPr>
      <w:r>
        <w:rPr>
          <w:rFonts w:ascii="Garamond" w:hAnsi="Garamond"/>
          <w:b w:val="0"/>
          <w:i w:val="0"/>
          <w:sz w:val="24"/>
        </w:rPr>
        <w:t>A identidade institucional é preservada também por meio de documentos oficiais, códigos e modelos padronizados. A tabela seguinte resume a base documental da EBE.</w:t>
      </w:r>
    </w:p>
    <w:tbl>
      <w:tblPr>
        <w:tblW w:type="auto" w:w="0"/>
        <w:jc w:val="center"/>
        <w:tblLook w:firstColumn="1" w:firstRow="1" w:lastColumn="0" w:lastRow="0" w:noHBand="0" w:noVBand="1" w:val="04A0"/>
      </w:tblPr>
      <w:tblGrid>
        <w:gridCol w:w="2929"/>
        <w:gridCol w:w="2929"/>
        <w:gridCol w:w="2929"/>
      </w:tblGrid>
      <w:tr>
        <w:tc>
          <w:tcPr>
            <w:tcW w:type="dxa" w:w="2929"/>
            <w:shd w:val="clear" w:color="auto" w:fill="1B3A5C"/>
            <w:vAlign w:val="center"/>
          </w:tcPr>
          <w:p>
            <w:pPr>
              <w:jc w:val="center"/>
            </w:pPr>
            <w:r/>
            <w:r>
              <w:rPr>
                <w:rFonts w:ascii="Garamond" w:hAnsi="Garamond"/>
                <w:b/>
                <w:color w:val="FFFFFF"/>
                <w:sz w:val="18"/>
              </w:rPr>
              <w:t>Código</w:t>
            </w:r>
          </w:p>
        </w:tc>
        <w:tc>
          <w:tcPr>
            <w:tcW w:type="dxa" w:w="2929"/>
            <w:shd w:val="clear" w:color="auto" w:fill="1B3A5C"/>
            <w:vAlign w:val="center"/>
          </w:tcPr>
          <w:p>
            <w:pPr>
              <w:jc w:val="center"/>
            </w:pPr>
            <w:r/>
            <w:r>
              <w:rPr>
                <w:rFonts w:ascii="Garamond" w:hAnsi="Garamond"/>
                <w:b/>
                <w:color w:val="FFFFFF"/>
                <w:sz w:val="18"/>
              </w:rPr>
              <w:t>Documento</w:t>
            </w:r>
          </w:p>
        </w:tc>
        <w:tc>
          <w:tcPr>
            <w:tcW w:type="dxa" w:w="2929"/>
            <w:shd w:val="clear" w:color="auto" w:fill="1B3A5C"/>
            <w:vAlign w:val="center"/>
          </w:tcPr>
          <w:p>
            <w:pPr>
              <w:jc w:val="center"/>
            </w:pPr>
            <w:r/>
            <w:r>
              <w:rPr>
                <w:rFonts w:ascii="Garamond" w:hAnsi="Garamond"/>
                <w:b/>
                <w:color w:val="FFFFFF"/>
                <w:sz w:val="18"/>
              </w:rPr>
              <w:t>Função</w:t>
            </w:r>
          </w:p>
        </w:tc>
      </w:tr>
      <w:tr>
        <w:tc>
          <w:tcPr>
            <w:tcW w:type="dxa" w:w="2929"/>
            <w:vAlign w:val="center"/>
          </w:tcPr>
          <w:p>
            <w:pPr>
              <w:jc w:val="left"/>
            </w:pPr>
            <w:r/>
            <w:r>
              <w:rPr>
                <w:rFonts w:ascii="Garamond" w:hAnsi="Garamond"/>
                <w:b w:val="0"/>
                <w:sz w:val="17"/>
              </w:rPr>
              <w:t>EBE-DOC-001</w:t>
            </w:r>
          </w:p>
        </w:tc>
        <w:tc>
          <w:tcPr>
            <w:tcW w:type="dxa" w:w="2929"/>
            <w:vAlign w:val="center"/>
          </w:tcPr>
          <w:p>
            <w:pPr>
              <w:jc w:val="left"/>
            </w:pPr>
            <w:r/>
            <w:r>
              <w:rPr>
                <w:rFonts w:ascii="Garamond" w:hAnsi="Garamond"/>
                <w:b w:val="0"/>
                <w:sz w:val="17"/>
              </w:rPr>
              <w:t>Identidade Institucional</w:t>
            </w:r>
          </w:p>
        </w:tc>
        <w:tc>
          <w:tcPr>
            <w:tcW w:type="dxa" w:w="2929"/>
            <w:vAlign w:val="center"/>
          </w:tcPr>
          <w:p>
            <w:pPr>
              <w:jc w:val="left"/>
            </w:pPr>
            <w:r/>
            <w:r>
              <w:rPr>
                <w:rFonts w:ascii="Garamond" w:hAnsi="Garamond"/>
                <w:b w:val="0"/>
                <w:sz w:val="17"/>
              </w:rPr>
              <w:t>Define missão, visão, valores, filosofia e identidade base.</w:t>
            </w:r>
          </w:p>
        </w:tc>
      </w:tr>
      <w:tr>
        <w:tc>
          <w:tcPr>
            <w:tcW w:type="dxa" w:w="2929"/>
            <w:vAlign w:val="center"/>
          </w:tcPr>
          <w:p>
            <w:pPr>
              <w:jc w:val="left"/>
            </w:pPr>
            <w:r/>
            <w:r>
              <w:rPr>
                <w:rFonts w:ascii="Garamond" w:hAnsi="Garamond"/>
                <w:b w:val="0"/>
                <w:sz w:val="17"/>
              </w:rPr>
              <w:t>EBE-DOC-002</w:t>
            </w:r>
          </w:p>
        </w:tc>
        <w:tc>
          <w:tcPr>
            <w:tcW w:type="dxa" w:w="2929"/>
            <w:vAlign w:val="center"/>
          </w:tcPr>
          <w:p>
            <w:pPr>
              <w:jc w:val="left"/>
            </w:pPr>
            <w:r/>
            <w:r>
              <w:rPr>
                <w:rFonts w:ascii="Garamond" w:hAnsi="Garamond"/>
                <w:b w:val="0"/>
                <w:sz w:val="17"/>
              </w:rPr>
              <w:t>Declaração de Fé</w:t>
            </w:r>
          </w:p>
        </w:tc>
        <w:tc>
          <w:tcPr>
            <w:tcW w:type="dxa" w:w="2929"/>
            <w:vAlign w:val="center"/>
          </w:tcPr>
          <w:p>
            <w:pPr>
              <w:jc w:val="left"/>
            </w:pPr>
            <w:r/>
            <w:r>
              <w:rPr>
                <w:rFonts w:ascii="Garamond" w:hAnsi="Garamond"/>
                <w:b w:val="0"/>
                <w:sz w:val="17"/>
              </w:rPr>
              <w:t>Estabelece a confissão doutrinária oficial.</w:t>
            </w:r>
          </w:p>
        </w:tc>
      </w:tr>
      <w:tr>
        <w:tc>
          <w:tcPr>
            <w:tcW w:type="dxa" w:w="2929"/>
            <w:vAlign w:val="center"/>
          </w:tcPr>
          <w:p>
            <w:pPr>
              <w:jc w:val="left"/>
            </w:pPr>
            <w:r/>
            <w:r>
              <w:rPr>
                <w:rFonts w:ascii="Garamond" w:hAnsi="Garamond"/>
                <w:b w:val="0"/>
                <w:sz w:val="17"/>
              </w:rPr>
              <w:t>EBE-DOC-003</w:t>
            </w:r>
          </w:p>
        </w:tc>
        <w:tc>
          <w:tcPr>
            <w:tcW w:type="dxa" w:w="2929"/>
            <w:vAlign w:val="center"/>
          </w:tcPr>
          <w:p>
            <w:pPr>
              <w:jc w:val="left"/>
            </w:pPr>
            <w:r/>
            <w:r>
              <w:rPr>
                <w:rFonts w:ascii="Garamond" w:hAnsi="Garamond"/>
                <w:b w:val="0"/>
                <w:sz w:val="17"/>
              </w:rPr>
              <w:t>Projecto Pedagógico Oficial</w:t>
            </w:r>
          </w:p>
        </w:tc>
        <w:tc>
          <w:tcPr>
            <w:tcW w:type="dxa" w:w="2929"/>
            <w:vAlign w:val="center"/>
          </w:tcPr>
          <w:p>
            <w:pPr>
              <w:jc w:val="left"/>
            </w:pPr>
            <w:r/>
            <w:r>
              <w:rPr>
                <w:rFonts w:ascii="Garamond" w:hAnsi="Garamond"/>
                <w:b w:val="0"/>
                <w:sz w:val="17"/>
              </w:rPr>
              <w:t>Define método, eixos, processos e finalidade formativa.</w:t>
            </w:r>
          </w:p>
        </w:tc>
      </w:tr>
      <w:tr>
        <w:tc>
          <w:tcPr>
            <w:tcW w:type="dxa" w:w="2929"/>
            <w:vAlign w:val="center"/>
          </w:tcPr>
          <w:p>
            <w:pPr>
              <w:jc w:val="left"/>
            </w:pPr>
            <w:r/>
            <w:r>
              <w:rPr>
                <w:rFonts w:ascii="Garamond" w:hAnsi="Garamond"/>
                <w:b w:val="0"/>
                <w:sz w:val="17"/>
              </w:rPr>
              <w:t>EBE-DOC-004</w:t>
            </w:r>
          </w:p>
        </w:tc>
        <w:tc>
          <w:tcPr>
            <w:tcW w:type="dxa" w:w="2929"/>
            <w:vAlign w:val="center"/>
          </w:tcPr>
          <w:p>
            <w:pPr>
              <w:jc w:val="left"/>
            </w:pPr>
            <w:r/>
            <w:r>
              <w:rPr>
                <w:rFonts w:ascii="Garamond" w:hAnsi="Garamond"/>
                <w:b w:val="0"/>
                <w:sz w:val="17"/>
              </w:rPr>
              <w:t>Regimento Académico</w:t>
            </w:r>
          </w:p>
        </w:tc>
        <w:tc>
          <w:tcPr>
            <w:tcW w:type="dxa" w:w="2929"/>
            <w:vAlign w:val="center"/>
          </w:tcPr>
          <w:p>
            <w:pPr>
              <w:jc w:val="left"/>
            </w:pPr>
            <w:r/>
            <w:r>
              <w:rPr>
                <w:rFonts w:ascii="Garamond" w:hAnsi="Garamond"/>
                <w:b w:val="0"/>
                <w:sz w:val="17"/>
              </w:rPr>
              <w:t>Normatiza direitos, deveres, avaliação, certificação e disciplina.</w:t>
            </w:r>
          </w:p>
        </w:tc>
      </w:tr>
      <w:tr>
        <w:tc>
          <w:tcPr>
            <w:tcW w:type="dxa" w:w="2929"/>
            <w:vAlign w:val="center"/>
          </w:tcPr>
          <w:p>
            <w:pPr>
              <w:jc w:val="left"/>
            </w:pPr>
            <w:r/>
            <w:r>
              <w:rPr>
                <w:rFonts w:ascii="Garamond" w:hAnsi="Garamond"/>
                <w:b w:val="0"/>
                <w:sz w:val="17"/>
              </w:rPr>
              <w:t>EBE-DOC-005</w:t>
            </w:r>
          </w:p>
        </w:tc>
        <w:tc>
          <w:tcPr>
            <w:tcW w:type="dxa" w:w="2929"/>
            <w:vAlign w:val="center"/>
          </w:tcPr>
          <w:p>
            <w:pPr>
              <w:jc w:val="left"/>
            </w:pPr>
            <w:r/>
            <w:r>
              <w:rPr>
                <w:rFonts w:ascii="Garamond" w:hAnsi="Garamond"/>
                <w:b w:val="0"/>
                <w:sz w:val="17"/>
              </w:rPr>
              <w:t>Arquitectura Oficial</w:t>
            </w:r>
          </w:p>
        </w:tc>
        <w:tc>
          <w:tcPr>
            <w:tcW w:type="dxa" w:w="2929"/>
            <w:vAlign w:val="center"/>
          </w:tcPr>
          <w:p>
            <w:pPr>
              <w:jc w:val="left"/>
            </w:pPr>
            <w:r/>
            <w:r>
              <w:rPr>
                <w:rFonts w:ascii="Garamond" w:hAnsi="Garamond"/>
                <w:b w:val="0"/>
                <w:sz w:val="17"/>
              </w:rPr>
              <w:t>Organiza institutos, escolas, cursos, módulos e apostilas.</w:t>
            </w:r>
          </w:p>
        </w:tc>
      </w:tr>
      <w:tr>
        <w:tc>
          <w:tcPr>
            <w:tcW w:type="dxa" w:w="2929"/>
            <w:vAlign w:val="center"/>
          </w:tcPr>
          <w:p>
            <w:pPr>
              <w:jc w:val="left"/>
            </w:pPr>
            <w:r/>
            <w:r>
              <w:rPr>
                <w:rFonts w:ascii="Garamond" w:hAnsi="Garamond"/>
                <w:b w:val="0"/>
                <w:sz w:val="17"/>
              </w:rPr>
              <w:t>EBE-DOC-006</w:t>
            </w:r>
          </w:p>
        </w:tc>
        <w:tc>
          <w:tcPr>
            <w:tcW w:type="dxa" w:w="2929"/>
            <w:vAlign w:val="center"/>
          </w:tcPr>
          <w:p>
            <w:pPr>
              <w:jc w:val="left"/>
            </w:pPr>
            <w:r/>
            <w:r>
              <w:rPr>
                <w:rFonts w:ascii="Garamond" w:hAnsi="Garamond"/>
                <w:b w:val="0"/>
                <w:sz w:val="17"/>
              </w:rPr>
              <w:t>Mapa de Cursos</w:t>
            </w:r>
          </w:p>
        </w:tc>
        <w:tc>
          <w:tcPr>
            <w:tcW w:type="dxa" w:w="2929"/>
            <w:vAlign w:val="center"/>
          </w:tcPr>
          <w:p>
            <w:pPr>
              <w:jc w:val="left"/>
            </w:pPr>
            <w:r/>
            <w:r>
              <w:rPr>
                <w:rFonts w:ascii="Garamond" w:hAnsi="Garamond"/>
                <w:b w:val="0"/>
                <w:sz w:val="17"/>
              </w:rPr>
              <w:t>Lista os cursos e escolas da estrutura formativa.</w:t>
            </w:r>
          </w:p>
        </w:tc>
      </w:tr>
      <w:tr>
        <w:tc>
          <w:tcPr>
            <w:tcW w:type="dxa" w:w="2929"/>
            <w:vAlign w:val="center"/>
          </w:tcPr>
          <w:p>
            <w:pPr>
              <w:jc w:val="left"/>
            </w:pPr>
            <w:r/>
            <w:r>
              <w:rPr>
                <w:rFonts w:ascii="Garamond" w:hAnsi="Garamond"/>
                <w:b w:val="0"/>
                <w:sz w:val="17"/>
              </w:rPr>
              <w:t>EBE-DOC-007</w:t>
            </w:r>
          </w:p>
        </w:tc>
        <w:tc>
          <w:tcPr>
            <w:tcW w:type="dxa" w:w="2929"/>
            <w:vAlign w:val="center"/>
          </w:tcPr>
          <w:p>
            <w:pPr>
              <w:jc w:val="left"/>
            </w:pPr>
            <w:r/>
            <w:r>
              <w:rPr>
                <w:rFonts w:ascii="Garamond" w:hAnsi="Garamond"/>
                <w:b w:val="0"/>
                <w:sz w:val="17"/>
              </w:rPr>
              <w:t>Duração Oficial</w:t>
            </w:r>
          </w:p>
        </w:tc>
        <w:tc>
          <w:tcPr>
            <w:tcW w:type="dxa" w:w="2929"/>
            <w:vAlign w:val="center"/>
          </w:tcPr>
          <w:p>
            <w:pPr>
              <w:jc w:val="left"/>
            </w:pPr>
            <w:r/>
            <w:r>
              <w:rPr>
                <w:rFonts w:ascii="Garamond" w:hAnsi="Garamond"/>
                <w:b w:val="0"/>
                <w:sz w:val="17"/>
              </w:rPr>
              <w:t>Define carga horária dos cursos e níveis.</w:t>
            </w:r>
          </w:p>
        </w:tc>
      </w:tr>
      <w:tr>
        <w:tc>
          <w:tcPr>
            <w:tcW w:type="dxa" w:w="2929"/>
            <w:vAlign w:val="center"/>
          </w:tcPr>
          <w:p>
            <w:pPr>
              <w:jc w:val="left"/>
            </w:pPr>
            <w:r/>
            <w:r>
              <w:rPr>
                <w:rFonts w:ascii="Garamond" w:hAnsi="Garamond"/>
                <w:b w:val="0"/>
                <w:sz w:val="17"/>
              </w:rPr>
              <w:t>EBE-DOC-008</w:t>
            </w:r>
          </w:p>
        </w:tc>
        <w:tc>
          <w:tcPr>
            <w:tcW w:type="dxa" w:w="2929"/>
            <w:vAlign w:val="center"/>
          </w:tcPr>
          <w:p>
            <w:pPr>
              <w:jc w:val="left"/>
            </w:pPr>
            <w:r/>
            <w:r>
              <w:rPr>
                <w:rFonts w:ascii="Garamond" w:hAnsi="Garamond"/>
                <w:b w:val="0"/>
                <w:sz w:val="17"/>
              </w:rPr>
              <w:t>Sistema de Pré-Requisitos</w:t>
            </w:r>
          </w:p>
        </w:tc>
        <w:tc>
          <w:tcPr>
            <w:tcW w:type="dxa" w:w="2929"/>
            <w:vAlign w:val="center"/>
          </w:tcPr>
          <w:p>
            <w:pPr>
              <w:jc w:val="left"/>
            </w:pPr>
            <w:r/>
            <w:r>
              <w:rPr>
                <w:rFonts w:ascii="Garamond" w:hAnsi="Garamond"/>
                <w:b w:val="0"/>
                <w:sz w:val="17"/>
              </w:rPr>
              <w:t>Organiza progressão e dependências formativas.</w:t>
            </w:r>
          </w:p>
        </w:tc>
      </w:tr>
      <w:tr>
        <w:tc>
          <w:tcPr>
            <w:tcW w:type="dxa" w:w="2929"/>
            <w:vAlign w:val="center"/>
          </w:tcPr>
          <w:p>
            <w:pPr>
              <w:jc w:val="left"/>
            </w:pPr>
            <w:r/>
            <w:r>
              <w:rPr>
                <w:rFonts w:ascii="Garamond" w:hAnsi="Garamond"/>
                <w:b w:val="0"/>
                <w:sz w:val="17"/>
              </w:rPr>
              <w:t>EBE-MAN-ALU</w:t>
            </w:r>
          </w:p>
        </w:tc>
        <w:tc>
          <w:tcPr>
            <w:tcW w:type="dxa" w:w="2929"/>
            <w:vAlign w:val="center"/>
          </w:tcPr>
          <w:p>
            <w:pPr>
              <w:jc w:val="left"/>
            </w:pPr>
            <w:r/>
            <w:r>
              <w:rPr>
                <w:rFonts w:ascii="Garamond" w:hAnsi="Garamond"/>
                <w:b w:val="0"/>
                <w:sz w:val="17"/>
              </w:rPr>
              <w:t>Manual do Aluno</w:t>
            </w:r>
          </w:p>
        </w:tc>
        <w:tc>
          <w:tcPr>
            <w:tcW w:type="dxa" w:w="2929"/>
            <w:vAlign w:val="center"/>
          </w:tcPr>
          <w:p>
            <w:pPr>
              <w:jc w:val="left"/>
            </w:pPr>
            <w:r/>
            <w:r>
              <w:rPr>
                <w:rFonts w:ascii="Garamond" w:hAnsi="Garamond"/>
                <w:b w:val="0"/>
                <w:sz w:val="17"/>
              </w:rPr>
              <w:t>Guia prático, pastoral e académico do aluno.</w:t>
            </w:r>
          </w:p>
        </w:tc>
      </w:tr>
      <w:tr>
        <w:tc>
          <w:tcPr>
            <w:tcW w:type="dxa" w:w="2929"/>
            <w:vAlign w:val="center"/>
          </w:tcPr>
          <w:p>
            <w:pPr>
              <w:jc w:val="left"/>
            </w:pPr>
            <w:r/>
            <w:r>
              <w:rPr>
                <w:rFonts w:ascii="Garamond" w:hAnsi="Garamond"/>
                <w:b w:val="0"/>
                <w:sz w:val="17"/>
              </w:rPr>
              <w:t>EBE-MAN-DOC</w:t>
            </w:r>
          </w:p>
        </w:tc>
        <w:tc>
          <w:tcPr>
            <w:tcW w:type="dxa" w:w="2929"/>
            <w:vAlign w:val="center"/>
          </w:tcPr>
          <w:p>
            <w:pPr>
              <w:jc w:val="left"/>
            </w:pPr>
            <w:r/>
            <w:r>
              <w:rPr>
                <w:rFonts w:ascii="Garamond" w:hAnsi="Garamond"/>
                <w:b w:val="0"/>
                <w:sz w:val="17"/>
              </w:rPr>
              <w:t>Manual do Docente</w:t>
            </w:r>
          </w:p>
        </w:tc>
        <w:tc>
          <w:tcPr>
            <w:tcW w:type="dxa" w:w="2929"/>
            <w:vAlign w:val="center"/>
          </w:tcPr>
          <w:p>
            <w:pPr>
              <w:jc w:val="left"/>
            </w:pPr>
            <w:r/>
            <w:r>
              <w:rPr>
                <w:rFonts w:ascii="Garamond" w:hAnsi="Garamond"/>
                <w:b w:val="0"/>
                <w:sz w:val="17"/>
              </w:rPr>
              <w:t>Guia formativo, pedagógico e pastoral do docente.</w:t>
            </w:r>
          </w:p>
        </w:tc>
      </w:tr>
      <w:tr>
        <w:tc>
          <w:tcPr>
            <w:tcW w:type="dxa" w:w="2929"/>
            <w:vAlign w:val="center"/>
          </w:tcPr>
          <w:p>
            <w:pPr>
              <w:jc w:val="left"/>
            </w:pPr>
            <w:r/>
            <w:r>
              <w:rPr>
                <w:rFonts w:ascii="Garamond" w:hAnsi="Garamond"/>
                <w:b w:val="0"/>
                <w:sz w:val="17"/>
              </w:rPr>
              <w:t>EBE-FRM-001 a 006</w:t>
            </w:r>
          </w:p>
        </w:tc>
        <w:tc>
          <w:tcPr>
            <w:tcW w:type="dxa" w:w="2929"/>
            <w:vAlign w:val="center"/>
          </w:tcPr>
          <w:p>
            <w:pPr>
              <w:jc w:val="left"/>
            </w:pPr>
            <w:r/>
            <w:r>
              <w:rPr>
                <w:rFonts w:ascii="Garamond" w:hAnsi="Garamond"/>
                <w:b w:val="0"/>
                <w:sz w:val="17"/>
              </w:rPr>
              <w:t>Formulários oficiais</w:t>
            </w:r>
          </w:p>
        </w:tc>
        <w:tc>
          <w:tcPr>
            <w:tcW w:type="dxa" w:w="2929"/>
            <w:vAlign w:val="center"/>
          </w:tcPr>
          <w:p>
            <w:pPr>
              <w:jc w:val="left"/>
            </w:pPr>
            <w:r/>
            <w:r>
              <w:rPr>
                <w:rFonts w:ascii="Garamond" w:hAnsi="Garamond"/>
                <w:b w:val="0"/>
                <w:sz w:val="17"/>
              </w:rPr>
              <w:t>Matrícula, plano, declaração, avaliação, presença e pauta.</w:t>
            </w:r>
          </w:p>
        </w:tc>
      </w:tr>
      <w:tr>
        <w:tc>
          <w:tcPr>
            <w:tcW w:type="dxa" w:w="2929"/>
            <w:vAlign w:val="center"/>
          </w:tcPr>
          <w:p>
            <w:pPr>
              <w:jc w:val="left"/>
            </w:pPr>
            <w:r/>
            <w:r>
              <w:rPr>
                <w:rFonts w:ascii="Garamond" w:hAnsi="Garamond"/>
                <w:b w:val="0"/>
                <w:sz w:val="17"/>
              </w:rPr>
              <w:t>EBE-MOD-TCC-001</w:t>
            </w:r>
          </w:p>
        </w:tc>
        <w:tc>
          <w:tcPr>
            <w:tcW w:type="dxa" w:w="2929"/>
            <w:vAlign w:val="center"/>
          </w:tcPr>
          <w:p>
            <w:pPr>
              <w:jc w:val="left"/>
            </w:pPr>
            <w:r/>
            <w:r>
              <w:rPr>
                <w:rFonts w:ascii="Garamond" w:hAnsi="Garamond"/>
                <w:b w:val="0"/>
                <w:sz w:val="17"/>
              </w:rPr>
              <w:t>Modelo de TCC/Monografia</w:t>
            </w:r>
          </w:p>
        </w:tc>
        <w:tc>
          <w:tcPr>
            <w:tcW w:type="dxa" w:w="2929"/>
            <w:vAlign w:val="center"/>
          </w:tcPr>
          <w:p>
            <w:pPr>
              <w:jc w:val="left"/>
            </w:pPr>
            <w:r/>
            <w:r>
              <w:rPr>
                <w:rFonts w:ascii="Garamond" w:hAnsi="Garamond"/>
                <w:b w:val="0"/>
                <w:sz w:val="17"/>
              </w:rPr>
              <w:t>Modelo universal de trabalho final.</w:t>
            </w:r>
          </w:p>
        </w:tc>
      </w:tr>
    </w:tbl>
    <w:p>
      <w:pPr>
        <w:keepNext/>
        <w:spacing w:before="360" w:after="120"/>
        <w:jc w:val="left"/>
        <w:pBdr>
          <w:bottom w:val="single" w:sz="6" w:space="1" w:color="1B3A5C"/>
        </w:pBdr>
      </w:pPr>
      <w:r>
        <w:rPr>
          <w:rFonts w:ascii="Garamond" w:hAnsi="Garamond"/>
          <w:b/>
          <w:color w:val="1B3A5C"/>
          <w:sz w:val="30"/>
        </w:rPr>
        <w:t>15. CAPÍTULO XV — PRINCÍPIOS DE USO DA IDENTIDADE</w:t>
      </w:r>
    </w:p>
    <w:p>
      <w:pPr>
        <w:keepNext/>
        <w:spacing w:before="240" w:after="80"/>
      </w:pPr>
      <w:r>
        <w:rPr>
          <w:rFonts w:ascii="Garamond" w:hAnsi="Garamond"/>
          <w:b/>
          <w:color w:val="1B3A5C"/>
          <w:sz w:val="26"/>
        </w:rPr>
        <w:t>15.1. O que deve ser preservado</w:t>
      </w:r>
    </w:p>
    <w:p>
      <w:pPr>
        <w:spacing w:after="40"/>
        <w:ind w:left="454" w:hanging="283"/>
        <w:jc w:val="both"/>
      </w:pPr>
      <w:r>
        <w:rPr>
          <w:rFonts w:ascii="Garamond" w:hAnsi="Garamond"/>
          <w:b/>
          <w:color w:val="2E7D4F"/>
          <w:sz w:val="24"/>
        </w:rPr>
        <w:t xml:space="preserve">•  </w:t>
      </w:r>
      <w:r>
        <w:rPr>
          <w:rFonts w:ascii="Garamond" w:hAnsi="Garamond"/>
          <w:sz w:val="24"/>
        </w:rPr>
        <w:t>O nome Escola Bíblica Epignósis e a sigla EBE devem ser usados de modo digno, formal e coerente.</w:t>
      </w:r>
    </w:p>
    <w:p>
      <w:pPr>
        <w:spacing w:after="40"/>
        <w:ind w:left="454" w:hanging="283"/>
        <w:jc w:val="both"/>
      </w:pPr>
      <w:r>
        <w:rPr>
          <w:rFonts w:ascii="Garamond" w:hAnsi="Garamond"/>
          <w:b/>
          <w:color w:val="2E7D4F"/>
          <w:sz w:val="24"/>
        </w:rPr>
        <w:t xml:space="preserve">•  </w:t>
      </w:r>
      <w:r>
        <w:rPr>
          <w:rFonts w:ascii="Garamond" w:hAnsi="Garamond"/>
          <w:sz w:val="24"/>
        </w:rPr>
        <w:t>O lema institucional deve aparecer em documentos oficiais, capas, certificados e materiais de acolhimento.</w:t>
      </w:r>
    </w:p>
    <w:p>
      <w:pPr>
        <w:spacing w:after="40"/>
        <w:ind w:left="454" w:hanging="283"/>
        <w:jc w:val="both"/>
      </w:pPr>
      <w:r>
        <w:rPr>
          <w:rFonts w:ascii="Garamond" w:hAnsi="Garamond"/>
          <w:b/>
          <w:color w:val="2E7D4F"/>
          <w:sz w:val="24"/>
        </w:rPr>
        <w:t xml:space="preserve">•  </w:t>
      </w:r>
      <w:r>
        <w:rPr>
          <w:rFonts w:ascii="Garamond" w:hAnsi="Garamond"/>
          <w:sz w:val="24"/>
        </w:rPr>
        <w:t>O logotipo não deve ser distorcido, recortado indevidamente ou usado com baixa legibilidade.</w:t>
      </w:r>
    </w:p>
    <w:p>
      <w:pPr>
        <w:spacing w:after="40"/>
        <w:ind w:left="454" w:hanging="283"/>
        <w:jc w:val="both"/>
      </w:pPr>
      <w:r>
        <w:rPr>
          <w:rFonts w:ascii="Garamond" w:hAnsi="Garamond"/>
          <w:b/>
          <w:color w:val="2E7D4F"/>
          <w:sz w:val="24"/>
        </w:rPr>
        <w:t xml:space="preserve">•  </w:t>
      </w:r>
      <w:r>
        <w:rPr>
          <w:rFonts w:ascii="Garamond" w:hAnsi="Garamond"/>
          <w:sz w:val="24"/>
        </w:rPr>
        <w:t>As cores institucionais devem ser respeitadas em documentos, certificados, apresentações e materiais gráficos.</w:t>
      </w:r>
    </w:p>
    <w:p>
      <w:pPr>
        <w:spacing w:after="40"/>
        <w:ind w:left="454" w:hanging="283"/>
        <w:jc w:val="both"/>
      </w:pPr>
      <w:r>
        <w:rPr>
          <w:rFonts w:ascii="Garamond" w:hAnsi="Garamond"/>
          <w:b/>
          <w:color w:val="2E7D4F"/>
          <w:sz w:val="24"/>
        </w:rPr>
        <w:t xml:space="preserve">•  </w:t>
      </w:r>
      <w:r>
        <w:rPr>
          <w:rFonts w:ascii="Garamond" w:hAnsi="Garamond"/>
          <w:sz w:val="24"/>
        </w:rPr>
        <w:t>Toda produção doutrinária deve ser coerente com a Declaração de Fé.</w:t>
      </w:r>
    </w:p>
    <w:p>
      <w:pPr>
        <w:spacing w:after="40"/>
        <w:ind w:left="454" w:hanging="283"/>
        <w:jc w:val="both"/>
      </w:pPr>
      <w:r>
        <w:rPr>
          <w:rFonts w:ascii="Garamond" w:hAnsi="Garamond"/>
          <w:b/>
          <w:color w:val="2E7D4F"/>
          <w:sz w:val="24"/>
        </w:rPr>
        <w:t xml:space="preserve">•  </w:t>
      </w:r>
      <w:r>
        <w:rPr>
          <w:rFonts w:ascii="Garamond" w:hAnsi="Garamond"/>
          <w:sz w:val="24"/>
        </w:rPr>
        <w:t>Toda produção pedagógica deve respeitar os quatro eixos: Conhecer, Crer, Viver e Servir.</w:t>
      </w:r>
    </w:p>
    <w:p>
      <w:pPr>
        <w:keepNext/>
        <w:spacing w:before="240" w:after="80"/>
      </w:pPr>
      <w:r>
        <w:rPr>
          <w:rFonts w:ascii="Garamond" w:hAnsi="Garamond"/>
          <w:b/>
          <w:color w:val="1B3A5C"/>
          <w:sz w:val="26"/>
        </w:rPr>
        <w:t>15.2. O que deve ser evitado</w:t>
      </w:r>
    </w:p>
    <w:p>
      <w:pPr>
        <w:spacing w:after="40"/>
        <w:ind w:left="454" w:hanging="283"/>
        <w:jc w:val="both"/>
      </w:pPr>
      <w:r>
        <w:rPr>
          <w:rFonts w:ascii="Garamond" w:hAnsi="Garamond"/>
          <w:b/>
          <w:color w:val="2E7D4F"/>
          <w:sz w:val="24"/>
        </w:rPr>
        <w:t xml:space="preserve">•  </w:t>
      </w:r>
      <w:r>
        <w:rPr>
          <w:rFonts w:ascii="Garamond" w:hAnsi="Garamond"/>
          <w:sz w:val="24"/>
        </w:rPr>
        <w:t>Usar a marca EBE para iniciativas não aprovadas pela Direcção.</w:t>
      </w:r>
    </w:p>
    <w:p>
      <w:pPr>
        <w:spacing w:after="40"/>
        <w:ind w:left="454" w:hanging="283"/>
        <w:jc w:val="both"/>
      </w:pPr>
      <w:r>
        <w:rPr>
          <w:rFonts w:ascii="Garamond" w:hAnsi="Garamond"/>
          <w:b/>
          <w:color w:val="2E7D4F"/>
          <w:sz w:val="24"/>
        </w:rPr>
        <w:t xml:space="preserve">•  </w:t>
      </w:r>
      <w:r>
        <w:rPr>
          <w:rFonts w:ascii="Garamond" w:hAnsi="Garamond"/>
          <w:sz w:val="24"/>
        </w:rPr>
        <w:t>Publicar materiais em nome da EBE sem revisão pedagógica e doutrinária.</w:t>
      </w:r>
    </w:p>
    <w:p>
      <w:pPr>
        <w:spacing w:after="40"/>
        <w:ind w:left="454" w:hanging="283"/>
        <w:jc w:val="both"/>
      </w:pPr>
      <w:r>
        <w:rPr>
          <w:rFonts w:ascii="Garamond" w:hAnsi="Garamond"/>
          <w:b/>
          <w:color w:val="2E7D4F"/>
          <w:sz w:val="24"/>
        </w:rPr>
        <w:t xml:space="preserve">•  </w:t>
      </w:r>
      <w:r>
        <w:rPr>
          <w:rFonts w:ascii="Garamond" w:hAnsi="Garamond"/>
          <w:sz w:val="24"/>
        </w:rPr>
        <w:t>Alterar o logotipo, cores, tipografia ou lema sem autorização institucional.</w:t>
      </w:r>
    </w:p>
    <w:p>
      <w:pPr>
        <w:spacing w:after="40"/>
        <w:ind w:left="454" w:hanging="283"/>
        <w:jc w:val="both"/>
      </w:pPr>
      <w:r>
        <w:rPr>
          <w:rFonts w:ascii="Garamond" w:hAnsi="Garamond"/>
          <w:b/>
          <w:color w:val="2E7D4F"/>
          <w:sz w:val="24"/>
        </w:rPr>
        <w:t xml:space="preserve">•  </w:t>
      </w:r>
      <w:r>
        <w:rPr>
          <w:rFonts w:ascii="Garamond" w:hAnsi="Garamond"/>
          <w:sz w:val="24"/>
        </w:rPr>
        <w:t>Ensinar doutrinas contrárias à Declaração de Fé Institucional.</w:t>
      </w:r>
    </w:p>
    <w:p>
      <w:pPr>
        <w:spacing w:after="40"/>
        <w:ind w:left="454" w:hanging="283"/>
        <w:jc w:val="both"/>
      </w:pPr>
      <w:r>
        <w:rPr>
          <w:rFonts w:ascii="Garamond" w:hAnsi="Garamond"/>
          <w:b/>
          <w:color w:val="2E7D4F"/>
          <w:sz w:val="24"/>
        </w:rPr>
        <w:t xml:space="preserve">•  </w:t>
      </w:r>
      <w:r>
        <w:rPr>
          <w:rFonts w:ascii="Garamond" w:hAnsi="Garamond"/>
          <w:sz w:val="24"/>
        </w:rPr>
        <w:t>Reduzir a EBE a plataforma de promoção pessoal, política ou denominacional.</w:t>
      </w:r>
    </w:p>
    <w:p>
      <w:pPr>
        <w:keepNext/>
        <w:spacing w:before="360" w:after="120"/>
        <w:jc w:val="left"/>
        <w:pBdr>
          <w:bottom w:val="single" w:sz="6" w:space="1" w:color="1B3A5C"/>
        </w:pBdr>
      </w:pPr>
      <w:r>
        <w:rPr>
          <w:rFonts w:ascii="Garamond" w:hAnsi="Garamond"/>
          <w:b/>
          <w:color w:val="1B3A5C"/>
          <w:sz w:val="30"/>
        </w:rPr>
        <w:t>16. CAPÍTULO XVI — DECLARAÇÃO DE IDENTIDADE E COMPROMISSO</w:t>
      </w:r>
    </w:p>
    <w:p>
      <w:pPr>
        <w:jc w:val="both"/>
      </w:pPr>
      <w:r>
        <w:rPr>
          <w:rFonts w:ascii="Garamond" w:hAnsi="Garamond"/>
          <w:b w:val="0"/>
          <w:i w:val="0"/>
          <w:sz w:val="24"/>
        </w:rPr>
        <w:t>A Escola Bíblica Epignósis declara, diante de Deus e da Igreja de Cristo, que a sua identidade será guardada pela fidelidade às Escrituras, centralidade de Cristo, dependência do Espírito Santo, compromisso com a santidade, excelência académica, serviço humilde e missão multiplicadora.</w:t>
      </w:r>
    </w:p>
    <w:p>
      <w:pPr>
        <w:spacing w:before="120" w:after="120"/>
        <w:ind w:left="850" w:right="567"/>
        <w:jc w:val="both"/>
      </w:pPr>
      <w:r>
        <w:rPr>
          <w:rFonts w:ascii="Garamond" w:hAnsi="Garamond"/>
          <w:i/>
          <w:color w:val="555555"/>
          <w:sz w:val="22"/>
        </w:rPr>
        <w:t>“Portanto, ide, ensinai todas as nações, baptizando-as em nome do Pai, e do Filho, e do Espírito Santo; ensinando-as a guardar todas as coisas que eu vos tenho mandado.”</w:t>
      </w:r>
      <w:r>
        <w:rPr>
          <w:rFonts w:ascii="Garamond" w:hAnsi="Garamond"/>
          <w:i/>
          <w:color w:val="2E7D4F"/>
          <w:sz w:val="20"/>
        </w:rPr>
        <w:t xml:space="preserve">  (Mateus 28.19-20, ARC)</w:t>
      </w:r>
    </w:p>
    <w:tbl>
      <w:tblPr>
        <w:tblW w:type="auto" w:w="0"/>
        <w:jc w:val="center"/>
        <w:tblLook w:firstColumn="1" w:firstRow="1" w:lastColumn="0" w:lastRow="0" w:noHBand="0" w:noVBand="1" w:val="04A0"/>
      </w:tblPr>
      <w:tblGrid>
        <w:gridCol w:w="8788"/>
      </w:tblGrid>
      <w:tr>
        <w:tc>
          <w:tcPr>
            <w:tcW w:type="dxa" w:w="8788"/>
            <w:shd w:val="clear" w:color="auto" w:fill="E8F1EC"/>
          </w:tcPr>
          <w:p>
            <w:pPr>
              <w:spacing w:after="0"/>
              <w:jc w:val="both"/>
            </w:pPr>
            <w:r>
              <w:rPr>
                <w:rFonts w:ascii="Garamond" w:hAnsi="Garamond"/>
                <w:b/>
                <w:color w:val="1B3A5C"/>
                <w:sz w:val="22"/>
              </w:rPr>
              <w:t xml:space="preserve">Declaração-síntese — </w:t>
            </w:r>
            <w:r>
              <w:rPr>
                <w:rFonts w:ascii="Garamond" w:hAnsi="Garamond"/>
                <w:sz w:val="22"/>
              </w:rPr>
              <w:t>Somos a Escola Bíblica Epignósis: uma comunidade de formação cristã chamada a conhecer Deus profundamente, viver a Palavra fielmente e manifestar o Reino frutiferamente.</w:t>
            </w:r>
          </w:p>
        </w:tc>
      </w:tr>
    </w:tbl>
    <w:p>
      <w:pPr>
        <w:keepNext/>
        <w:spacing w:before="240" w:after="80"/>
      </w:pPr>
      <w:r>
        <w:rPr>
          <w:rFonts w:ascii="Garamond" w:hAnsi="Garamond"/>
          <w:b/>
          <w:color w:val="1B3A5C"/>
          <w:sz w:val="26"/>
        </w:rPr>
        <w:t>Oração institucional</w:t>
      </w:r>
    </w:p>
    <w:p>
      <w:pPr>
        <w:ind w:left="680" w:right="567"/>
        <w:jc w:val="both"/>
      </w:pPr>
      <w:r>
        <w:rPr>
          <w:rFonts w:ascii="Garamond" w:hAnsi="Garamond"/>
          <w:i/>
          <w:color w:val="1B3A5C"/>
          <w:sz w:val="25"/>
        </w:rPr>
        <w:t>“Senhor Deus, guarda a Escola Bíblica Epignósis em fidelidade à Tua Palavra. Livra-nos da superficialidade, da vaidade, da confusão doutrinária e da esterilidade espiritual. Faz de nós uma escola que ensina com verdade, ama com sinceridade, vive com santidade e serve com poder. Que cada aluno, docente e colaborador conheça a Ti de modo profundo e manifeste o Teu Reino em todas as áreas da vida. Em nome de Jesus, amém.”</w:t>
      </w:r>
    </w:p>
    <w:p>
      <w:pPr>
        <w:keepNext/>
        <w:spacing w:before="240" w:after="80"/>
      </w:pPr>
      <w:r>
        <w:rPr>
          <w:rFonts w:ascii="Garamond" w:hAnsi="Garamond"/>
          <w:b/>
          <w:color w:val="1B3A5C"/>
          <w:sz w:val="26"/>
        </w:rPr>
        <w:t>Homologação interna</w:t>
      </w:r>
    </w:p>
    <w:p>
      <w:pPr>
        <w:jc w:val="both"/>
      </w:pPr>
      <w:r>
        <w:rPr>
          <w:rFonts w:ascii="Garamond" w:hAnsi="Garamond"/>
          <w:b w:val="0"/>
          <w:i w:val="0"/>
          <w:sz w:val="24"/>
        </w:rPr>
        <w:t>O presente Compêndio poderá ser usado como documento de referência para reuniões de liderança, formação docente, acolhimento de alunos, apresentação pública da Escola e orientação institucional.</w:t>
      </w:r>
    </w:p>
    <w:tbl>
      <w:tblPr>
        <w:tblW w:type="auto" w:w="0"/>
        <w:jc w:val="center"/>
        <w:tblLook w:firstColumn="1" w:firstRow="1" w:lastColumn="0" w:lastRow="0" w:noHBand="0" w:noVBand="1" w:val="04A0"/>
      </w:tblPr>
      <w:tblGrid>
        <w:gridCol w:w="2929"/>
        <w:gridCol w:w="2929"/>
        <w:gridCol w:w="2929"/>
      </w:tblGrid>
      <w:tr>
        <w:tc>
          <w:tcPr>
            <w:tcW w:type="dxa" w:w="2929"/>
            <w:vAlign w:val="center"/>
          </w:tcPr>
          <w:p>
            <w:pPr>
              <w:jc w:val="center"/>
            </w:pPr>
            <w:r/>
            <w:r>
              <w:rPr>
                <w:rFonts w:ascii="Garamond" w:hAnsi="Garamond"/>
                <w:b w:val="0"/>
                <w:sz w:val="18"/>
              </w:rPr>
              <w:br/>
              <w:br/>
              <w:t>__________________________________</w:t>
            </w:r>
          </w:p>
        </w:tc>
        <w:tc>
          <w:tcPr>
            <w:tcW w:type="dxa" w:w="2929"/>
            <w:vAlign w:val="center"/>
          </w:tcPr>
          <w:p>
            <w:pPr>
              <w:jc w:val="center"/>
            </w:pPr>
            <w:r/>
            <w:r>
              <w:rPr>
                <w:rFonts w:ascii="Garamond" w:hAnsi="Garamond"/>
                <w:b w:val="0"/>
                <w:sz w:val="18"/>
              </w:rPr>
              <w:br/>
              <w:br/>
              <w:t>__________________________________</w:t>
            </w:r>
          </w:p>
        </w:tc>
        <w:tc>
          <w:tcPr>
            <w:tcW w:type="dxa" w:w="2929"/>
            <w:vAlign w:val="center"/>
          </w:tcPr>
          <w:p>
            <w:pPr>
              <w:jc w:val="center"/>
            </w:pPr>
            <w:r/>
            <w:r>
              <w:rPr>
                <w:rFonts w:ascii="Garamond" w:hAnsi="Garamond"/>
                <w:b w:val="0"/>
                <w:sz w:val="18"/>
              </w:rPr>
              <w:br/>
              <w:br/>
              <w:t>__________________________________</w:t>
            </w:r>
          </w:p>
        </w:tc>
      </w:tr>
      <w:tr>
        <w:tc>
          <w:tcPr>
            <w:tcW w:type="dxa" w:w="2929"/>
            <w:vAlign w:val="center"/>
          </w:tcPr>
          <w:p>
            <w:pPr>
              <w:jc w:val="center"/>
            </w:pPr>
            <w:r/>
            <w:r>
              <w:rPr>
                <w:rFonts w:ascii="Garamond" w:hAnsi="Garamond"/>
                <w:b/>
                <w:color w:val="1B3A5C"/>
                <w:sz w:val="18"/>
              </w:rPr>
              <w:t>Direcção Geral</w:t>
            </w:r>
          </w:p>
        </w:tc>
        <w:tc>
          <w:tcPr>
            <w:tcW w:type="dxa" w:w="2929"/>
            <w:vAlign w:val="center"/>
          </w:tcPr>
          <w:p>
            <w:pPr>
              <w:jc w:val="center"/>
            </w:pPr>
            <w:r/>
            <w:r>
              <w:rPr>
                <w:rFonts w:ascii="Garamond" w:hAnsi="Garamond"/>
                <w:b/>
                <w:color w:val="1B3A5C"/>
                <w:sz w:val="18"/>
              </w:rPr>
              <w:t>Coordenação Acadêmica</w:t>
            </w:r>
          </w:p>
        </w:tc>
        <w:tc>
          <w:tcPr>
            <w:tcW w:type="dxa" w:w="2929"/>
            <w:vAlign w:val="center"/>
          </w:tcPr>
          <w:p>
            <w:pPr>
              <w:jc w:val="center"/>
            </w:pPr>
            <w:r/>
            <w:r>
              <w:rPr>
                <w:rFonts w:ascii="Garamond" w:hAnsi="Garamond"/>
                <w:b/>
                <w:color w:val="1B3A5C"/>
                <w:sz w:val="18"/>
              </w:rPr>
              <w:t>Conselho Doutrinário</w:t>
            </w:r>
          </w:p>
        </w:tc>
      </w:tr>
    </w:tbl>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EBE-COMP-ID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Compêndio da Identidade Completa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