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ebe.png"/>
                    <pic:cNvPicPr/>
                  </pic:nvPicPr>
                  <pic:blipFill>
                    <a:blip r:embed="rId11"/>
                    <a:stretch>
                      <a:fillRect/>
                    </a:stretch>
                  </pic:blipFill>
                  <pic:spPr>
                    <a:xfrm>
                      <a:off x="0" y="0"/>
                      <a:ext cx="1980000" cy="1980000"/>
                    </a:xfrm>
                    <a:prstGeom prst="rect"/>
                  </pic:spPr>
                </pic:pic>
              </a:graphicData>
            </a:graphic>
          </wp:inline>
        </w:drawing>
      </w:r>
    </w:p>
    <w:p>
      <w:pPr>
        <w:jc w:val="center"/>
      </w:pPr>
      <w:r>
        <w:rPr>
          <w:rFonts w:ascii="Garamond" w:hAnsi="Garamond"/>
          <w:i/>
          <w:color w:val="2E7D4F"/>
          <w:sz w:val="20"/>
        </w:rPr>
        <w:t>Conhecer a Deus. Viver a Palavra. Manifestar o Reino.</w:t>
      </w:r>
    </w:p>
    <w:p>
      <w:pPr>
        <w:pBdr>
          <w:bottom w:val="single" w:sz="6" w:space="1" w:color="2E7D4F"/>
        </w:pBdr>
      </w:pPr>
    </w:p>
    <w:p>
      <w:pPr>
        <w:spacing w:before="80"/>
        <w:jc w:val="center"/>
      </w:pPr>
      <w:r>
        <w:rPr>
          <w:rFonts w:ascii="Garamond" w:hAnsi="Garamond"/>
          <w:b/>
          <w:color w:val="2E7D4F"/>
          <w:sz w:val="22"/>
        </w:rPr>
        <w:t>INSTITUTO FORMAÇÃO CRISTÃ</w:t>
      </w:r>
    </w:p>
    <w:p>
      <w:pPr>
        <w:jc w:val="center"/>
      </w:pPr>
      <w:r>
        <w:rPr>
          <w:rFonts w:ascii="Garamond" w:hAnsi="Garamond"/>
          <w:color w:val="555555"/>
          <w:sz w:val="20"/>
        </w:rPr>
        <w:t>Escola de Fundamentos da Fé  ·  Curso «Salvação e Novo Nascimento»  ·  Módulo 1 — Fundamentos da Salvação</w:t>
      </w:r>
    </w:p>
    <w:p/>
    <w:p>
      <w:pPr>
        <w:jc w:val="center"/>
      </w:pPr>
      <w:r>
        <w:rPr>
          <w:rFonts w:ascii="Garamond" w:hAnsi="Garamond"/>
          <w:b/>
          <w:color w:val="2E7D4F"/>
          <w:sz w:val="26"/>
        </w:rPr>
        <w:t>APOSTILA N.º  01</w:t>
      </w:r>
    </w:p>
    <w:p>
      <w:pPr>
        <w:jc w:val="center"/>
      </w:pPr>
      <w:r>
        <w:rPr>
          <w:rFonts w:ascii="Garamond" w:hAnsi="Garamond"/>
          <w:b/>
          <w:color w:val="1B3A5C"/>
          <w:sz w:val="56"/>
        </w:rPr>
        <w:t>O Estado de Perdição do Ser Humano</w:t>
      </w:r>
    </w:p>
    <w:p>
      <w:pPr>
        <w:jc w:val="center"/>
      </w:pPr>
      <w:r>
        <w:rPr>
          <w:rFonts w:ascii="Garamond" w:hAnsi="Garamond"/>
          <w:i/>
          <w:color w:val="1A1A1A"/>
          <w:sz w:val="26"/>
        </w:rPr>
        <w:t>Uma leitura bíblica, doutrinária e pastoral da condição humana sem a graça salvadora de Cristo.</w:t>
      </w:r>
    </w:p>
    <w:p/>
    <w:p/>
    <w:tbl>
      <w:tblPr>
        <w:tblW w:type="auto" w:w="0"/>
        <w:jc w:val="center"/>
        <w:tblLook w:firstColumn="1" w:firstRow="1" w:lastColumn="0" w:lastRow="0" w:noHBand="0" w:noVBand="1" w:val="04A0"/>
      </w:tblPr>
      <w:tblGrid>
        <w:gridCol w:w="4394"/>
        <w:gridCol w:w="4394"/>
      </w:tblGrid>
      <w:tr>
        <w:tc>
          <w:tcPr>
            <w:tcW w:type="dxa" w:w="4394"/>
            <w:shd w:val="clear" w:color="auto" w:fill="E8F1EC"/>
          </w:tcPr>
          <w:p>
            <w:r>
              <w:rPr>
                <w:rFonts w:ascii="Garamond" w:hAnsi="Garamond"/>
                <w:b/>
                <w:color w:val="1B3A5C"/>
                <w:sz w:val="20"/>
              </w:rPr>
              <w:t>Autor / Docente</w:t>
            </w:r>
          </w:p>
        </w:tc>
        <w:tc>
          <w:tcPr>
            <w:tcW w:type="dxa" w:w="4394"/>
          </w:tcPr>
          <w:p>
            <w:r>
              <w:rPr>
                <w:rFonts w:ascii="Garamond" w:hAnsi="Garamond"/>
                <w:sz w:val="20"/>
              </w:rPr>
              <w:t>Direcção Pedagógica · Escola Bíblica Epignósis</w:t>
            </w:r>
          </w:p>
        </w:tc>
      </w:tr>
      <w:tr>
        <w:tc>
          <w:tcPr>
            <w:tcW w:type="dxa" w:w="4394"/>
            <w:shd w:val="clear" w:color="auto" w:fill="E8F1EC"/>
          </w:tcPr>
          <w:p>
            <w:r>
              <w:rPr>
                <w:rFonts w:ascii="Garamond" w:hAnsi="Garamond"/>
                <w:b/>
                <w:color w:val="1B3A5C"/>
                <w:sz w:val="20"/>
              </w:rPr>
              <w:t>Carga horária estimada</w:t>
            </w:r>
          </w:p>
        </w:tc>
        <w:tc>
          <w:tcPr>
            <w:tcW w:type="dxa" w:w="4394"/>
          </w:tcPr>
          <w:p>
            <w:r>
              <w:rPr>
                <w:rFonts w:ascii="Garamond" w:hAnsi="Garamond"/>
                <w:sz w:val="20"/>
              </w:rPr>
              <w:t>3 horas de estudo dirigido</w:t>
            </w:r>
          </w:p>
        </w:tc>
      </w:tr>
      <w:tr>
        <w:tc>
          <w:tcPr>
            <w:tcW w:type="dxa" w:w="4394"/>
            <w:shd w:val="clear" w:color="auto" w:fill="E8F1EC"/>
          </w:tcPr>
          <w:p>
            <w:r>
              <w:rPr>
                <w:rFonts w:ascii="Garamond" w:hAnsi="Garamond"/>
                <w:b/>
                <w:color w:val="1B3A5C"/>
                <w:sz w:val="20"/>
              </w:rPr>
              <w:t>Nível formativo</w:t>
            </w:r>
          </w:p>
        </w:tc>
        <w:tc>
          <w:tcPr>
            <w:tcW w:type="dxa" w:w="4394"/>
          </w:tcPr>
          <w:p>
            <w:r>
              <w:rPr>
                <w:rFonts w:ascii="Garamond" w:hAnsi="Garamond"/>
                <w:sz w:val="20"/>
              </w:rPr>
              <w:t>Nível 1 — Discípulo</w:t>
            </w:r>
          </w:p>
        </w:tc>
      </w:tr>
      <w:tr>
        <w:tc>
          <w:tcPr>
            <w:tcW w:type="dxa" w:w="4394"/>
            <w:shd w:val="clear" w:color="auto" w:fill="E8F1EC"/>
          </w:tcPr>
          <w:p>
            <w:r>
              <w:rPr>
                <w:rFonts w:ascii="Garamond" w:hAnsi="Garamond"/>
                <w:b/>
                <w:color w:val="1B3A5C"/>
                <w:sz w:val="20"/>
              </w:rPr>
              <w:t>Edição / Ano</w:t>
            </w:r>
          </w:p>
        </w:tc>
        <w:tc>
          <w:tcPr>
            <w:tcW w:type="dxa" w:w="4394"/>
          </w:tcPr>
          <w:p>
            <w:r>
              <w:rPr>
                <w:rFonts w:ascii="Garamond" w:hAnsi="Garamond"/>
                <w:sz w:val="20"/>
              </w:rPr>
              <w:t>1.ª edição — 2026</w:t>
            </w:r>
          </w:p>
        </w:tc>
      </w:tr>
    </w:tbl>
    <w:p/>
    <w:p>
      <w:pPr>
        <w:pBdr>
          <w:bottom w:val="single" w:sz="4" w:space="1" w:color="2E7D4F"/>
        </w:pBdr>
      </w:pPr>
    </w:p>
    <w:p>
      <w:pPr>
        <w:jc w:val="center"/>
      </w:pPr>
      <w:r>
        <w:rPr>
          <w:rFonts w:ascii="Garamond" w:hAnsi="Garamond"/>
          <w:color w:val="555555"/>
          <w:sz w:val="18"/>
        </w:rPr>
        <w:t>Material didáctico oficial · Código EBE-APO-001 · 2026</w:t>
      </w:r>
    </w:p>
    <w:p>
      <w:r>
        <w:br w:type="page"/>
      </w:r>
    </w:p>
    <w:p/>
    <w:p/>
    <w:p/>
    <w:p/>
    <w:p/>
    <w:p/>
    <w:p>
      <w:pPr>
        <w:jc w:val="center"/>
      </w:pPr>
      <w:r>
        <w:rPr>
          <w:rFonts w:ascii="Garamond" w:hAnsi="Garamond"/>
          <w:b/>
          <w:color w:val="2E7D4F"/>
          <w:sz w:val="24"/>
        </w:rPr>
        <w:t>MARCO FILOSÓFICO</w:t>
      </w:r>
    </w:p>
    <w:p>
      <w:pPr>
        <w:pBdr>
          <w:bottom w:val="single" w:sz="4" w:space="1" w:color="2E7D4F"/>
        </w:pBdr>
      </w:pPr>
    </w:p>
    <w:p/>
    <w:p>
      <w:pPr>
        <w:ind w:left="1134" w:right="1134"/>
        <w:jc w:val="center"/>
      </w:pPr>
      <w:r>
        <w:rPr>
          <w:rFonts w:ascii="Garamond" w:hAnsi="Garamond"/>
          <w:i/>
          <w:color w:val="1B3A5C"/>
          <w:sz w:val="28"/>
        </w:rPr>
        <w:t>“Acreditamos que o verdadeiro conhecimento de Deus transforma a mente pela verdade das Escrituras, o coração pela acção do Espírito Santo e a vida pelo compromisso de viver e anunciar o Evangelho de Jesus Cristo.”</w:t>
      </w:r>
    </w:p>
    <w:p/>
    <w:p>
      <w:pPr>
        <w:jc w:val="center"/>
      </w:pPr>
      <w:r>
        <w:rPr>
          <w:rFonts w:ascii="Garamond" w:hAnsi="Garamond"/>
          <w:color w:val="555555"/>
          <w:sz w:val="20"/>
        </w:rPr>
        <w:t>— Escola Bíblica Epignósis —</w:t>
      </w:r>
    </w:p>
    <w:p/>
    <w:p>
      <w:pPr>
        <w:jc w:val="center"/>
      </w:pPr>
      <w:r>
        <w:rPr>
          <w:rFonts w:ascii="Garamond" w:hAnsi="Garamond"/>
          <w:i/>
          <w:color w:val="555555"/>
          <w:sz w:val="20"/>
        </w:rPr>
        <w:t>“Até que todos cheguemos à unidade da fé e ao pleno conhecimento (ἐπίγνωσις) do Filho de Deus, a homem perfeito, à medida da estatura completa de Cristo.”</w:t>
        <w:br/>
        <w:t>Efésios 4.13</w:t>
      </w:r>
    </w:p>
    <w:p>
      <w:r>
        <w:br w:type="page"/>
      </w:r>
    </w:p>
    <w:p>
      <w:pPr>
        <w:keepNext/>
        <w:spacing w:before="360" w:after="120"/>
        <w:jc w:val="left"/>
        <w:pBdr>
          <w:bottom w:val="single" w:sz="6" w:space="1" w:color="1B3A5C"/>
        </w:pBdr>
      </w:pPr>
      <w:r>
        <w:rPr>
          <w:rFonts w:ascii="Garamond" w:hAnsi="Garamond"/>
          <w:b/>
          <w:color w:val="1B3A5C"/>
          <w:sz w:val="30"/>
        </w:rPr>
        <w:t>FICHA TÉCNICA</w:t>
      </w:r>
    </w:p>
    <w:p>
      <w:pPr>
        <w:jc w:val="both"/>
      </w:pPr>
      <w:r>
        <w:rPr>
          <w:rFonts w:ascii="Garamond" w:hAnsi="Garamond"/>
          <w:b w:val="0"/>
          <w:i w:val="0"/>
          <w:sz w:val="24"/>
        </w:rPr>
        <w:t>Este material didáctico é propriedade intelectual da Escola Bíblica Epignósis (EBE), produzido para uso exclusivo no âmbito dos seus programas de formação. A sua reprodução, no todo ou em parte, depende de autorização institucional escrita.</w:t>
      </w:r>
    </w:p>
    <w:p>
      <w:pPr>
        <w:spacing w:after="40"/>
        <w:ind w:left="454" w:hanging="283"/>
        <w:jc w:val="both"/>
      </w:pPr>
      <w:r>
        <w:rPr>
          <w:rFonts w:ascii="Garamond" w:hAnsi="Garamond"/>
          <w:b/>
          <w:color w:val="2E7D4F"/>
          <w:sz w:val="24"/>
        </w:rPr>
        <w:t xml:space="preserve">•  </w:t>
      </w:r>
      <w:r>
        <w:rPr>
          <w:rFonts w:ascii="Garamond" w:hAnsi="Garamond"/>
          <w:sz w:val="24"/>
        </w:rPr>
        <w:t>Título da apostila: O Estado de Perdição do Ser Humano.</w:t>
      </w:r>
    </w:p>
    <w:p>
      <w:pPr>
        <w:spacing w:after="40"/>
        <w:ind w:left="454" w:hanging="283"/>
        <w:jc w:val="both"/>
      </w:pPr>
      <w:r>
        <w:rPr>
          <w:rFonts w:ascii="Garamond" w:hAnsi="Garamond"/>
          <w:b/>
          <w:color w:val="2E7D4F"/>
          <w:sz w:val="24"/>
        </w:rPr>
        <w:t xml:space="preserve">•  </w:t>
      </w:r>
      <w:r>
        <w:rPr>
          <w:rFonts w:ascii="Garamond" w:hAnsi="Garamond"/>
          <w:sz w:val="24"/>
        </w:rPr>
        <w:t>Curso: Salvação e Novo Nascimento.</w:t>
      </w:r>
    </w:p>
    <w:p>
      <w:pPr>
        <w:spacing w:after="40"/>
        <w:ind w:left="454" w:hanging="283"/>
        <w:jc w:val="both"/>
      </w:pPr>
      <w:r>
        <w:rPr>
          <w:rFonts w:ascii="Garamond" w:hAnsi="Garamond"/>
          <w:b/>
          <w:color w:val="2E7D4F"/>
          <w:sz w:val="24"/>
        </w:rPr>
        <w:t xml:space="preserve">•  </w:t>
      </w:r>
      <w:r>
        <w:rPr>
          <w:rFonts w:ascii="Garamond" w:hAnsi="Garamond"/>
          <w:sz w:val="24"/>
        </w:rPr>
        <w:t>Módulo: 1 — Fundamentos da Salvação.</w:t>
      </w:r>
    </w:p>
    <w:p>
      <w:pPr>
        <w:spacing w:after="40"/>
        <w:ind w:left="454" w:hanging="283"/>
        <w:jc w:val="both"/>
      </w:pPr>
      <w:r>
        <w:rPr>
          <w:rFonts w:ascii="Garamond" w:hAnsi="Garamond"/>
          <w:b/>
          <w:color w:val="2E7D4F"/>
          <w:sz w:val="24"/>
        </w:rPr>
        <w:t xml:space="preserve">•  </w:t>
      </w:r>
      <w:r>
        <w:rPr>
          <w:rFonts w:ascii="Garamond" w:hAnsi="Garamond"/>
          <w:sz w:val="24"/>
        </w:rPr>
        <w:t>Autor / Docente: Direcção Pedagógica da Escola Bíblica Epignósis.</w:t>
      </w:r>
    </w:p>
    <w:p>
      <w:pPr>
        <w:spacing w:after="40"/>
        <w:ind w:left="454" w:hanging="283"/>
        <w:jc w:val="both"/>
      </w:pPr>
      <w:r>
        <w:rPr>
          <w:rFonts w:ascii="Garamond" w:hAnsi="Garamond"/>
          <w:b/>
          <w:color w:val="2E7D4F"/>
          <w:sz w:val="24"/>
        </w:rPr>
        <w:t xml:space="preserve">•  </w:t>
      </w:r>
      <w:r>
        <w:rPr>
          <w:rFonts w:ascii="Garamond" w:hAnsi="Garamond"/>
          <w:sz w:val="24"/>
        </w:rPr>
        <w:t>Revisão pedagógica: Coordenação Acadêmica.</w:t>
      </w:r>
    </w:p>
    <w:p>
      <w:pPr>
        <w:spacing w:after="40"/>
        <w:ind w:left="454" w:hanging="283"/>
        <w:jc w:val="both"/>
      </w:pPr>
      <w:r>
        <w:rPr>
          <w:rFonts w:ascii="Garamond" w:hAnsi="Garamond"/>
          <w:b/>
          <w:color w:val="2E7D4F"/>
          <w:sz w:val="24"/>
        </w:rPr>
        <w:t xml:space="preserve">•  </w:t>
      </w:r>
      <w:r>
        <w:rPr>
          <w:rFonts w:ascii="Garamond" w:hAnsi="Garamond"/>
          <w:sz w:val="24"/>
        </w:rPr>
        <w:t>Revisão doutrinária: Conselho Doutrinário.</w:t>
      </w:r>
    </w:p>
    <w:p>
      <w:pPr>
        <w:spacing w:after="40"/>
        <w:ind w:left="454" w:hanging="283"/>
        <w:jc w:val="both"/>
      </w:pPr>
      <w:r>
        <w:rPr>
          <w:rFonts w:ascii="Garamond" w:hAnsi="Garamond"/>
          <w:b/>
          <w:color w:val="2E7D4F"/>
          <w:sz w:val="24"/>
        </w:rPr>
        <w:t xml:space="preserve">•  </w:t>
      </w:r>
      <w:r>
        <w:rPr>
          <w:rFonts w:ascii="Garamond" w:hAnsi="Garamond"/>
          <w:sz w:val="24"/>
        </w:rPr>
        <w:t>Versão bíblica de referência: Almeida Revista e Corrigida (ARC).</w:t>
      </w:r>
    </w:p>
    <w:p>
      <w:pPr>
        <w:spacing w:after="40"/>
        <w:ind w:left="454" w:hanging="283"/>
        <w:jc w:val="both"/>
      </w:pPr>
      <w:r>
        <w:rPr>
          <w:rFonts w:ascii="Garamond" w:hAnsi="Garamond"/>
          <w:b/>
          <w:color w:val="2E7D4F"/>
          <w:sz w:val="24"/>
        </w:rPr>
        <w:t xml:space="preserve">•  </w:t>
      </w:r>
      <w:r>
        <w:rPr>
          <w:rFonts w:ascii="Garamond" w:hAnsi="Garamond"/>
          <w:sz w:val="24"/>
        </w:rPr>
        <w:t>Edição: 1.ª — 2026.</w:t>
      </w:r>
    </w:p>
    <w:p>
      <w:pPr>
        <w:spacing w:after="40"/>
        <w:ind w:left="454" w:hanging="283"/>
        <w:jc w:val="both"/>
      </w:pPr>
      <w:r>
        <w:rPr>
          <w:rFonts w:ascii="Garamond" w:hAnsi="Garamond"/>
          <w:b/>
          <w:color w:val="2E7D4F"/>
          <w:sz w:val="24"/>
        </w:rPr>
        <w:t xml:space="preserve">•  </w:t>
      </w:r>
      <w:r>
        <w:rPr>
          <w:rFonts w:ascii="Garamond" w:hAnsi="Garamond"/>
          <w:sz w:val="24"/>
        </w:rPr>
        <w:t>Código institucional: EBE-APO-001.</w:t>
      </w:r>
    </w:p>
    <w:p>
      <w:pPr>
        <w:spacing w:before="120" w:after="120"/>
        <w:ind w:left="850" w:right="567"/>
        <w:jc w:val="both"/>
      </w:pPr>
      <w:r>
        <w:rPr>
          <w:rFonts w:ascii="Garamond" w:hAnsi="Garamond"/>
          <w:i/>
          <w:color w:val="555555"/>
          <w:sz w:val="22"/>
        </w:rPr>
        <w:t>“Toda a Escritura é divinamente inspirada e proveitosa para ensinar, para redarguir, para corrigir, para instruir em justiça; para que o homem de Deus seja perfeito e perfeitamente instruído para toda a boa obra.”</w:t>
      </w:r>
      <w:r>
        <w:rPr>
          <w:rFonts w:ascii="Garamond" w:hAnsi="Garamond"/>
          <w:i/>
          <w:color w:val="2E7D4F"/>
          <w:sz w:val="20"/>
        </w:rPr>
        <w:t xml:space="preserve">  (2 Timóteo 3.16-17, ARC)</w:t>
      </w:r>
    </w:p>
    <w:p>
      <w:r>
        <w:br w:type="page"/>
      </w:r>
    </w:p>
    <w:p>
      <w:pPr>
        <w:keepNext/>
        <w:spacing w:before="360" w:after="120"/>
        <w:jc w:val="left"/>
        <w:pBdr>
          <w:bottom w:val="single" w:sz="6" w:space="1" w:color="1B3A5C"/>
        </w:pBdr>
      </w:pPr>
      <w:r>
        <w:rPr>
          <w:rFonts w:ascii="Garamond" w:hAnsi="Garamond"/>
          <w:b/>
          <w:color w:val="1B3A5C"/>
          <w:sz w:val="30"/>
        </w:rPr>
        <w:t>SUMÁRIO</w:t>
      </w:r>
    </w:p>
    <w:p>
      <w:pPr>
        <w:spacing w:after="40"/>
        <w:ind w:left="454" w:hanging="283"/>
        <w:jc w:val="both"/>
      </w:pPr>
      <w:r>
        <w:rPr>
          <w:rFonts w:ascii="Garamond" w:hAnsi="Garamond"/>
          <w:b/>
          <w:color w:val="2E7D4F"/>
          <w:sz w:val="24"/>
        </w:rPr>
        <w:t xml:space="preserve">•  </w:t>
      </w:r>
      <w:r>
        <w:rPr>
          <w:rFonts w:ascii="Garamond" w:hAnsi="Garamond"/>
          <w:sz w:val="24"/>
        </w:rPr>
        <w:t>Apresentação da apostila</w:t>
      </w:r>
    </w:p>
    <w:p>
      <w:pPr>
        <w:spacing w:after="40"/>
        <w:ind w:left="454" w:hanging="283"/>
        <w:jc w:val="both"/>
      </w:pPr>
      <w:r>
        <w:rPr>
          <w:rFonts w:ascii="Garamond" w:hAnsi="Garamond"/>
          <w:b/>
          <w:color w:val="2E7D4F"/>
          <w:sz w:val="24"/>
        </w:rPr>
        <w:t xml:space="preserve">•  </w:t>
      </w:r>
      <w:r>
        <w:rPr>
          <w:rFonts w:ascii="Garamond" w:hAnsi="Garamond"/>
          <w:sz w:val="24"/>
        </w:rPr>
        <w:t>Objectivos de aprendizagem</w:t>
      </w:r>
    </w:p>
    <w:p>
      <w:pPr>
        <w:spacing w:after="40"/>
        <w:ind w:left="454" w:hanging="283"/>
        <w:jc w:val="both"/>
      </w:pPr>
      <w:r>
        <w:rPr>
          <w:rFonts w:ascii="Garamond" w:hAnsi="Garamond"/>
          <w:b/>
          <w:color w:val="2E7D4F"/>
          <w:sz w:val="24"/>
        </w:rPr>
        <w:t xml:space="preserve">•  </w:t>
      </w:r>
      <w:r>
        <w:rPr>
          <w:rFonts w:ascii="Garamond" w:hAnsi="Garamond"/>
          <w:sz w:val="24"/>
        </w:rPr>
        <w:t>Versículo-chave</w:t>
      </w:r>
    </w:p>
    <w:p>
      <w:pPr>
        <w:spacing w:after="40"/>
        <w:ind w:left="454" w:hanging="283"/>
        <w:jc w:val="both"/>
      </w:pPr>
      <w:r>
        <w:rPr>
          <w:rFonts w:ascii="Garamond" w:hAnsi="Garamond"/>
          <w:b/>
          <w:color w:val="2E7D4F"/>
          <w:sz w:val="24"/>
        </w:rPr>
        <w:t xml:space="preserve">•  </w:t>
      </w:r>
      <w:r>
        <w:rPr>
          <w:rFonts w:ascii="Garamond" w:hAnsi="Garamond"/>
          <w:sz w:val="24"/>
        </w:rPr>
        <w:t>Texto-base para leitura</w:t>
      </w:r>
    </w:p>
    <w:p>
      <w:pPr>
        <w:spacing w:after="40"/>
        <w:ind w:left="454" w:hanging="283"/>
        <w:jc w:val="both"/>
      </w:pPr>
      <w:r>
        <w:rPr>
          <w:rFonts w:ascii="Garamond" w:hAnsi="Garamond"/>
          <w:b/>
          <w:color w:val="2E7D4F"/>
          <w:sz w:val="24"/>
        </w:rPr>
        <w:t xml:space="preserve">•  </w:t>
      </w:r>
      <w:r>
        <w:rPr>
          <w:rFonts w:ascii="Garamond" w:hAnsi="Garamond"/>
          <w:sz w:val="24"/>
        </w:rPr>
        <w:t>1. Introdução</w:t>
      </w:r>
    </w:p>
    <w:p>
      <w:pPr>
        <w:spacing w:after="40"/>
        <w:ind w:left="454" w:hanging="283"/>
        <w:jc w:val="both"/>
      </w:pPr>
      <w:r>
        <w:rPr>
          <w:rFonts w:ascii="Garamond" w:hAnsi="Garamond"/>
          <w:b/>
          <w:color w:val="2E7D4F"/>
          <w:sz w:val="24"/>
        </w:rPr>
        <w:t xml:space="preserve">•  </w:t>
      </w:r>
      <w:r>
        <w:rPr>
          <w:rFonts w:ascii="Garamond" w:hAnsi="Garamond"/>
          <w:sz w:val="24"/>
        </w:rPr>
        <w:t>2. Desenvolvimento do conceito central</w:t>
      </w:r>
    </w:p>
    <w:p>
      <w:pPr>
        <w:spacing w:after="40"/>
        <w:ind w:left="454" w:hanging="283"/>
        <w:jc w:val="both"/>
      </w:pPr>
      <w:r>
        <w:rPr>
          <w:rFonts w:ascii="Garamond" w:hAnsi="Garamond"/>
          <w:b/>
          <w:color w:val="2E7D4F"/>
          <w:sz w:val="24"/>
        </w:rPr>
        <w:t xml:space="preserve">•  </w:t>
      </w:r>
      <w:r>
        <w:rPr>
          <w:rFonts w:ascii="Garamond" w:hAnsi="Garamond"/>
          <w:sz w:val="24"/>
        </w:rPr>
        <w:t xml:space="preserve">   2.1 Fundamentos bíblicos</w:t>
      </w:r>
    </w:p>
    <w:p>
      <w:pPr>
        <w:spacing w:after="40"/>
        <w:ind w:left="454" w:hanging="283"/>
        <w:jc w:val="both"/>
      </w:pPr>
      <w:r>
        <w:rPr>
          <w:rFonts w:ascii="Garamond" w:hAnsi="Garamond"/>
          <w:b/>
          <w:color w:val="2E7D4F"/>
          <w:sz w:val="24"/>
        </w:rPr>
        <w:t xml:space="preserve">•  </w:t>
      </w:r>
      <w:r>
        <w:rPr>
          <w:rFonts w:ascii="Garamond" w:hAnsi="Garamond"/>
          <w:sz w:val="24"/>
        </w:rPr>
        <w:t xml:space="preserve">   2.2 Desenvolvimento doutrinário</w:t>
      </w:r>
    </w:p>
    <w:p>
      <w:pPr>
        <w:spacing w:after="40"/>
        <w:ind w:left="454" w:hanging="283"/>
        <w:jc w:val="both"/>
      </w:pPr>
      <w:r>
        <w:rPr>
          <w:rFonts w:ascii="Garamond" w:hAnsi="Garamond"/>
          <w:b/>
          <w:color w:val="2E7D4F"/>
          <w:sz w:val="24"/>
        </w:rPr>
        <w:t xml:space="preserve">•  </w:t>
      </w:r>
      <w:r>
        <w:rPr>
          <w:rFonts w:ascii="Garamond" w:hAnsi="Garamond"/>
          <w:sz w:val="24"/>
        </w:rPr>
        <w:t xml:space="preserve">   2.3 Possíveis dúvidas e equívocos comuns</w:t>
      </w:r>
    </w:p>
    <w:p>
      <w:pPr>
        <w:spacing w:after="40"/>
        <w:ind w:left="454" w:hanging="283"/>
        <w:jc w:val="both"/>
      </w:pPr>
      <w:r>
        <w:rPr>
          <w:rFonts w:ascii="Garamond" w:hAnsi="Garamond"/>
          <w:b/>
          <w:color w:val="2E7D4F"/>
          <w:sz w:val="24"/>
        </w:rPr>
        <w:t xml:space="preserve">•  </w:t>
      </w:r>
      <w:r>
        <w:rPr>
          <w:rFonts w:ascii="Garamond" w:hAnsi="Garamond"/>
          <w:sz w:val="24"/>
        </w:rPr>
        <w:t xml:space="preserve">   2.4 Quadro de destaque</w:t>
      </w:r>
    </w:p>
    <w:p>
      <w:pPr>
        <w:spacing w:after="40"/>
        <w:ind w:left="454" w:hanging="283"/>
        <w:jc w:val="both"/>
      </w:pPr>
      <w:r>
        <w:rPr>
          <w:rFonts w:ascii="Garamond" w:hAnsi="Garamond"/>
          <w:b/>
          <w:color w:val="2E7D4F"/>
          <w:sz w:val="24"/>
        </w:rPr>
        <w:t xml:space="preserve">•  </w:t>
      </w:r>
      <w:r>
        <w:rPr>
          <w:rFonts w:ascii="Garamond" w:hAnsi="Garamond"/>
          <w:sz w:val="24"/>
        </w:rPr>
        <w:t>3. Aplicação prática</w:t>
      </w:r>
    </w:p>
    <w:p>
      <w:pPr>
        <w:spacing w:after="40"/>
        <w:ind w:left="454" w:hanging="283"/>
        <w:jc w:val="both"/>
      </w:pPr>
      <w:r>
        <w:rPr>
          <w:rFonts w:ascii="Garamond" w:hAnsi="Garamond"/>
          <w:b/>
          <w:color w:val="2E7D4F"/>
          <w:sz w:val="24"/>
        </w:rPr>
        <w:t xml:space="preserve">•  </w:t>
      </w:r>
      <w:r>
        <w:rPr>
          <w:rFonts w:ascii="Garamond" w:hAnsi="Garamond"/>
          <w:sz w:val="24"/>
        </w:rPr>
        <w:t>4. Síntese e conclusão</w:t>
      </w:r>
    </w:p>
    <w:p>
      <w:pPr>
        <w:spacing w:after="40"/>
        <w:ind w:left="454" w:hanging="283"/>
        <w:jc w:val="both"/>
      </w:pPr>
      <w:r>
        <w:rPr>
          <w:rFonts w:ascii="Garamond" w:hAnsi="Garamond"/>
          <w:b/>
          <w:color w:val="2E7D4F"/>
          <w:sz w:val="24"/>
        </w:rPr>
        <w:t xml:space="preserve">•  </w:t>
      </w:r>
      <w:r>
        <w:rPr>
          <w:rFonts w:ascii="Garamond" w:hAnsi="Garamond"/>
          <w:sz w:val="24"/>
        </w:rPr>
        <w:t>Exercícios de revisão</w:t>
      </w:r>
    </w:p>
    <w:p>
      <w:pPr>
        <w:spacing w:after="40"/>
        <w:ind w:left="454" w:hanging="283"/>
        <w:jc w:val="both"/>
      </w:pPr>
      <w:r>
        <w:rPr>
          <w:rFonts w:ascii="Garamond" w:hAnsi="Garamond"/>
          <w:b/>
          <w:color w:val="2E7D4F"/>
          <w:sz w:val="24"/>
        </w:rPr>
        <w:t xml:space="preserve">•  </w:t>
      </w:r>
      <w:r>
        <w:rPr>
          <w:rFonts w:ascii="Garamond" w:hAnsi="Garamond"/>
          <w:sz w:val="24"/>
        </w:rPr>
        <w:t>Estudo bíblico complementar</w:t>
      </w:r>
    </w:p>
    <w:p>
      <w:pPr>
        <w:spacing w:after="40"/>
        <w:ind w:left="454" w:hanging="283"/>
        <w:jc w:val="both"/>
      </w:pPr>
      <w:r>
        <w:rPr>
          <w:rFonts w:ascii="Garamond" w:hAnsi="Garamond"/>
          <w:b/>
          <w:color w:val="2E7D4F"/>
          <w:sz w:val="24"/>
        </w:rPr>
        <w:t xml:space="preserve">•  </w:t>
      </w:r>
      <w:r>
        <w:rPr>
          <w:rFonts w:ascii="Garamond" w:hAnsi="Garamond"/>
          <w:sz w:val="24"/>
        </w:rPr>
        <w:t>Para a próxima apostila</w:t>
      </w:r>
    </w:p>
    <w:p>
      <w:pPr>
        <w:spacing w:after="40"/>
        <w:ind w:left="454" w:hanging="283"/>
        <w:jc w:val="both"/>
      </w:pPr>
      <w:r>
        <w:rPr>
          <w:rFonts w:ascii="Garamond" w:hAnsi="Garamond"/>
          <w:b/>
          <w:color w:val="2E7D4F"/>
          <w:sz w:val="24"/>
        </w:rPr>
        <w:t xml:space="preserve">•  </w:t>
      </w:r>
      <w:r>
        <w:rPr>
          <w:rFonts w:ascii="Garamond" w:hAnsi="Garamond"/>
          <w:sz w:val="24"/>
        </w:rPr>
        <w:t>Glossário</w:t>
      </w:r>
    </w:p>
    <w:p>
      <w:pPr>
        <w:spacing w:after="40"/>
        <w:ind w:left="454" w:hanging="283"/>
        <w:jc w:val="both"/>
      </w:pPr>
      <w:r>
        <w:rPr>
          <w:rFonts w:ascii="Garamond" w:hAnsi="Garamond"/>
          <w:b/>
          <w:color w:val="2E7D4F"/>
          <w:sz w:val="24"/>
        </w:rPr>
        <w:t xml:space="preserve">•  </w:t>
      </w:r>
      <w:r>
        <w:rPr>
          <w:rFonts w:ascii="Garamond" w:hAnsi="Garamond"/>
          <w:sz w:val="24"/>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Anotações pessoais</w:t>
      </w:r>
    </w:p>
    <w:p>
      <w:r>
        <w:br w:type="page"/>
      </w:r>
    </w:p>
    <w:p>
      <w:pPr>
        <w:keepNext/>
        <w:spacing w:before="360" w:after="120"/>
        <w:jc w:val="left"/>
        <w:pBdr>
          <w:bottom w:val="single" w:sz="6" w:space="1" w:color="1B3A5C"/>
        </w:pBdr>
      </w:pPr>
      <w:r>
        <w:rPr>
          <w:rFonts w:ascii="Garamond" w:hAnsi="Garamond"/>
          <w:b/>
          <w:color w:val="1B3A5C"/>
          <w:sz w:val="30"/>
        </w:rPr>
        <w:t>APRESENTAÇÃO DA APOSTILA</w:t>
      </w:r>
    </w:p>
    <w:p>
      <w:pPr>
        <w:jc w:val="both"/>
      </w:pPr>
      <w:r>
        <w:rPr>
          <w:rFonts w:ascii="Garamond" w:hAnsi="Garamond"/>
          <w:b w:val="0"/>
          <w:i w:val="0"/>
          <w:sz w:val="24"/>
        </w:rPr>
        <w:t>Esta primeira apostila do curso Salvação e Novo Nascimento começa onde a mensagem bíblica da salvação também começa: na verdade séria acerca do estado espiritual do ser humano sem Cristo. Antes de compreender a riqueza da graça, a beleza do novo nascimento e a segurança da vida em Deus, o aluno precisa discernir com precisão de que condição o Senhor nos salva. A Escritura não apresenta a perdição humana como simples falta de informação religiosa, fraqueza ocasional ou carência de bons exemplos; apresenta-a como culpa real diante de Deus, corrupção interior, escravidão do pecado, alienação da vida divina e incapacidade de produzir, por si mesmo, a reconciliação de que necessita.</w:t>
      </w:r>
    </w:p>
    <w:p>
      <w:pPr>
        <w:jc w:val="both"/>
      </w:pPr>
      <w:r>
        <w:rPr>
          <w:rFonts w:ascii="Garamond" w:hAnsi="Garamond"/>
          <w:b w:val="0"/>
          <w:i w:val="0"/>
          <w:sz w:val="24"/>
        </w:rPr>
        <w:t>Estudar o estado de perdição não é cultivar pessimismo, mas permitir que a Palavra retire ilusões perigosas. A igreja enfraquece a evangelização quando fala da salvação como se ela fosse apenas melhora de comportamento, cura emocional ou pertença comunitária. A salvação bíblica é mais profunda: Deus resgata pecadores que estavam mortos em ofensas, justifica culpados, reconcilia inimigos, adopta órfãos espirituais e vivifica aqueles que não podiam dar vida a si mesmos. Quanto mais claramente se entende a gravidade do pecado, mais intensamente se adora a misericórdia de Deus manifestada em Cristo.</w:t>
      </w:r>
    </w:p>
    <w:p>
      <w:pPr>
        <w:jc w:val="both"/>
      </w:pPr>
      <w:r>
        <w:rPr>
          <w:rFonts w:ascii="Garamond" w:hAnsi="Garamond"/>
          <w:b w:val="0"/>
          <w:i w:val="0"/>
          <w:sz w:val="24"/>
        </w:rPr>
        <w:t>Esta apostila ocupa o primeiro lugar no módulo Fundamentos da Salvação porque estabelece a pergunta que orientará as demais lições: se a humanidade está perdida, qual é a resposta de Deus? A próxima apostila tratará da graça de Deus em Cristo; por isso, aqui o foco recai na necessidade da graça. O aluno é chamado a examinar Romanos, Génesis, Efésios, João e outros textos fundamentais, distinguindo culpa, corrupção, morte espiritual e condenação, sem cair em discursos acusatórios ou superficiais. O objectivo é formar discípulos humildes, evangelizadores compassivos e crentes que se maravilham novamente com a cruz.</w:t>
      </w:r>
    </w:p>
    <w:p>
      <w:pPr>
        <w:keepNext/>
        <w:spacing w:before="360" w:after="120"/>
        <w:jc w:val="left"/>
        <w:pBdr>
          <w:bottom w:val="single" w:sz="6" w:space="1" w:color="1B3A5C"/>
        </w:pBdr>
      </w:pPr>
      <w:r>
        <w:rPr>
          <w:rFonts w:ascii="Garamond" w:hAnsi="Garamond"/>
          <w:b/>
          <w:color w:val="1B3A5C"/>
          <w:sz w:val="30"/>
        </w:rPr>
        <w:t>OBJECTIVOS DE APRENDIZAGEM</w:t>
      </w:r>
    </w:p>
    <w:p>
      <w:pPr>
        <w:jc w:val="both"/>
      </w:pPr>
      <w:r>
        <w:rPr>
          <w:rFonts w:ascii="Garamond" w:hAnsi="Garamond"/>
          <w:b w:val="0"/>
          <w:i w:val="0"/>
          <w:sz w:val="24"/>
        </w:rPr>
        <w:t>Ao concluir o estudo desta apostila, o(a) aluno(a) será capaz de:</w:t>
      </w:r>
    </w:p>
    <w:p>
      <w:pPr>
        <w:spacing w:after="40"/>
        <w:ind w:left="454" w:hanging="283"/>
        <w:jc w:val="both"/>
      </w:pPr>
      <w:r>
        <w:rPr>
          <w:rFonts w:ascii="Garamond" w:hAnsi="Garamond"/>
          <w:b/>
          <w:color w:val="2E7D4F"/>
          <w:sz w:val="24"/>
        </w:rPr>
        <w:t xml:space="preserve">1. </w:t>
      </w:r>
      <w:r>
        <w:rPr>
          <w:rFonts w:ascii="Garamond" w:hAnsi="Garamond"/>
          <w:sz w:val="24"/>
        </w:rPr>
        <w:t>CONHECER — identificar, nas Escrituras, as dimensões bíblicas da perdição humana: culpa, corrupção, morte espiritual, escravidão, alienação e condenação.</w:t>
      </w:r>
    </w:p>
    <w:p>
      <w:pPr>
        <w:spacing w:after="40"/>
        <w:ind w:left="454" w:hanging="283"/>
        <w:jc w:val="both"/>
      </w:pPr>
      <w:r>
        <w:rPr>
          <w:rFonts w:ascii="Garamond" w:hAnsi="Garamond"/>
          <w:b/>
          <w:color w:val="2E7D4F"/>
          <w:sz w:val="24"/>
        </w:rPr>
        <w:t xml:space="preserve">2. </w:t>
      </w:r>
      <w:r>
        <w:rPr>
          <w:rFonts w:ascii="Garamond" w:hAnsi="Garamond"/>
          <w:sz w:val="24"/>
        </w:rPr>
        <w:t>CRER — reconhecer que nenhum ser humano pode salvar-se a si mesmo e que a salvação depende inteiramente da iniciativa graciosa de Deus em Cristo.</w:t>
      </w:r>
    </w:p>
    <w:p>
      <w:pPr>
        <w:spacing w:after="40"/>
        <w:ind w:left="454" w:hanging="283"/>
        <w:jc w:val="both"/>
      </w:pPr>
      <w:r>
        <w:rPr>
          <w:rFonts w:ascii="Garamond" w:hAnsi="Garamond"/>
          <w:b/>
          <w:color w:val="2E7D4F"/>
          <w:sz w:val="24"/>
        </w:rPr>
        <w:t xml:space="preserve">3. </w:t>
      </w:r>
      <w:r>
        <w:rPr>
          <w:rFonts w:ascii="Garamond" w:hAnsi="Garamond"/>
          <w:sz w:val="24"/>
        </w:rPr>
        <w:t>VIVER — abandonar justificações próprias, auto-engano e comparação moral, respondendo à verdade bíblica com arrependimento, humildade e fé.</w:t>
      </w:r>
    </w:p>
    <w:p>
      <w:pPr>
        <w:spacing w:after="40"/>
        <w:ind w:left="454" w:hanging="283"/>
        <w:jc w:val="both"/>
      </w:pPr>
      <w:r>
        <w:rPr>
          <w:rFonts w:ascii="Garamond" w:hAnsi="Garamond"/>
          <w:b/>
          <w:color w:val="2E7D4F"/>
          <w:sz w:val="24"/>
        </w:rPr>
        <w:t xml:space="preserve">4. </w:t>
      </w:r>
      <w:r>
        <w:rPr>
          <w:rFonts w:ascii="Garamond" w:hAnsi="Garamond"/>
          <w:sz w:val="24"/>
        </w:rPr>
        <w:t>SERVIR — anunciar o evangelho com clareza e compaixão, explicando a necessidade da salvação sem humilhar pessoas nem suavizar a seriedade do pecado.</w:t>
      </w:r>
    </w:p>
    <w:p>
      <w:pPr>
        <w:keepNext/>
        <w:spacing w:before="360" w:after="120"/>
        <w:jc w:val="left"/>
        <w:pBdr>
          <w:bottom w:val="single" w:sz="6" w:space="1" w:color="1B3A5C"/>
        </w:pBdr>
      </w:pPr>
      <w:r>
        <w:rPr>
          <w:rFonts w:ascii="Garamond" w:hAnsi="Garamond"/>
          <w:b/>
          <w:color w:val="1B3A5C"/>
          <w:sz w:val="30"/>
        </w:rPr>
        <w:t>VERSÍCULO-CHAVE</w:t>
      </w:r>
    </w:p>
    <w:p>
      <w:pPr>
        <w:spacing w:before="120" w:after="120"/>
        <w:ind w:left="850" w:right="567"/>
        <w:jc w:val="both"/>
      </w:pPr>
      <w:r>
        <w:rPr>
          <w:rFonts w:ascii="Garamond" w:hAnsi="Garamond"/>
          <w:i/>
          <w:color w:val="555555"/>
          <w:sz w:val="22"/>
        </w:rPr>
        <w:t>“Porque todos pecaram e destituídos estão da glória de Deus.”</w:t>
      </w:r>
      <w:r>
        <w:rPr>
          <w:rFonts w:ascii="Garamond" w:hAnsi="Garamond"/>
          <w:i/>
          <w:color w:val="2E7D4F"/>
          <w:sz w:val="20"/>
        </w:rPr>
        <w:t xml:space="preserve">  (Romanos 3.23, ARC)</w:t>
      </w:r>
    </w:p>
    <w:p>
      <w:pPr>
        <w:keepNext/>
        <w:spacing w:before="360" w:after="120"/>
        <w:jc w:val="left"/>
        <w:pBdr>
          <w:bottom w:val="single" w:sz="6" w:space="1" w:color="1B3A5C"/>
        </w:pBdr>
      </w:pPr>
      <w:r>
        <w:rPr>
          <w:rFonts w:ascii="Garamond" w:hAnsi="Garamond"/>
          <w:b/>
          <w:color w:val="1B3A5C"/>
          <w:sz w:val="30"/>
        </w:rPr>
        <w:t>TEXTO-BASE PARA LEITURA</w:t>
      </w:r>
    </w:p>
    <w:p>
      <w:pPr>
        <w:jc w:val="both"/>
      </w:pPr>
      <w:r>
        <w:rPr>
          <w:rFonts w:ascii="Garamond" w:hAnsi="Garamond"/>
          <w:b w:val="0"/>
          <w:i w:val="0"/>
          <w:sz w:val="24"/>
        </w:rPr>
        <w:t>Antes de iniciar o estudo, o(a) aluno(a) é convidado(a) a ler atentamente, em sua Bíblia (Almeida Revista e Corrigida), a seguinte passagem:</w:t>
      </w:r>
    </w:p>
    <w:p>
      <w:pPr>
        <w:jc w:val="center"/>
      </w:pPr>
      <w:r>
        <w:rPr>
          <w:rFonts w:ascii="Garamond" w:hAnsi="Garamond"/>
          <w:b/>
          <w:color w:val="2E7D4F"/>
          <w:sz w:val="28"/>
        </w:rPr>
        <w:t>Romanos 1.18-32; 3.9-26; Efésios 2.1-10</w:t>
      </w:r>
    </w:p>
    <w:p>
      <w:r>
        <w:br w:type="page"/>
      </w:r>
    </w:p>
    <w:p>
      <w:pPr>
        <w:keepNext/>
        <w:spacing w:before="360" w:after="120"/>
        <w:jc w:val="left"/>
        <w:pBdr>
          <w:bottom w:val="single" w:sz="6" w:space="1" w:color="1B3A5C"/>
        </w:pBdr>
      </w:pPr>
      <w:r>
        <w:rPr>
          <w:rFonts w:ascii="Garamond" w:hAnsi="Garamond"/>
          <w:b/>
          <w:color w:val="1B3A5C"/>
          <w:sz w:val="30"/>
        </w:rPr>
        <w:t>1. INTRODUÇÃO</w:t>
      </w:r>
    </w:p>
    <w:p>
      <w:pPr>
        <w:jc w:val="both"/>
      </w:pPr>
      <w:r>
        <w:rPr>
          <w:rFonts w:ascii="Garamond" w:hAnsi="Garamond"/>
          <w:b w:val="0"/>
          <w:i w:val="0"/>
          <w:sz w:val="24"/>
        </w:rPr>
        <w:t>A Bíblia começa com Deus, não com o homem. Esta ordem é decisiva. Quando o ser humano se torna a medida última da verdade, o pecado passa a ser visto apenas como erro, trauma, imaturidade, pressão social ou produto das circunstâncias. A Escritura, porém, lê a condição humana diante da santidade de Deus. A pergunta não é apenas se o homem se sente bem consigo mesmo, mas se está reconciliado com o Criador; não é apenas se pratica actos respeitáveis perante a sociedade, mas se ama a Deus de todo o coração, alma, entendimento e forças. A perdição humana só pode ser correctamente compreendida quando o Deus santo, justo e bom é contemplado como referência absoluta.</w:t>
      </w:r>
    </w:p>
    <w:p>
      <w:pPr>
        <w:jc w:val="both"/>
      </w:pPr>
      <w:r>
        <w:rPr>
          <w:rFonts w:ascii="Garamond" w:hAnsi="Garamond"/>
          <w:b w:val="0"/>
          <w:i w:val="0"/>
          <w:sz w:val="24"/>
        </w:rPr>
        <w:t>O termo perdição, nesta apostila, não designa apenas o destino final dos que permanecem fora de Cristo, mas o estado presente de separação, culpa e impotência espiritual que caracteriza a humanidade caída. O pecador está perdido porque perdeu a comunhão para a qual foi criado, perdeu a justiça original, perdeu o domínio recto dos seus afectos e perdeu a capacidade de voltar a Deus mediante mérito próprio. Esta perda não elimina a dignidade humana, pois o homem continua criado à imagem de Deus; contudo, a imagem está ferida, desordenada e incapaz de reflectir plenamente a glória divina sem restauração.</w:t>
      </w:r>
    </w:p>
    <w:p>
      <w:pPr>
        <w:jc w:val="both"/>
      </w:pPr>
      <w:r>
        <w:rPr>
          <w:rFonts w:ascii="Garamond" w:hAnsi="Garamond"/>
          <w:b w:val="0"/>
          <w:i w:val="0"/>
          <w:sz w:val="24"/>
        </w:rPr>
        <w:t>A compreensão bíblica da perdição protege duas verdades que devem permanecer juntas. A primeira é a responsabilidade humana: o pecado é real, voluntário e culpável, não mera fatalidade impessoal. A segunda é a necessidade absoluta da graça: a restauração não nasce da força moral do pecador, mas da acção de Deus. Sem a primeira verdade, o evangelho torna-se terapia religiosa; sem a segunda, torna-se moralismo pesado. A apostila procura manter estas duas linhas unidas para que o aluno compreenda por que motivo a salvação é, desde o início até ao fim, dom de Deus.</w:t>
      </w:r>
    </w:p>
    <w:p>
      <w:pPr>
        <w:keepNext/>
        <w:spacing w:before="360" w:after="120"/>
        <w:jc w:val="left"/>
        <w:pBdr>
          <w:bottom w:val="single" w:sz="6" w:space="1" w:color="1B3A5C"/>
        </w:pBdr>
      </w:pPr>
      <w:r>
        <w:rPr>
          <w:rFonts w:ascii="Garamond" w:hAnsi="Garamond"/>
          <w:b/>
          <w:color w:val="1B3A5C"/>
          <w:sz w:val="30"/>
        </w:rPr>
        <w:t>2. DESENVOLVIMENTO DO CONCEITO CENTRAL</w:t>
      </w:r>
    </w:p>
    <w:p>
      <w:pPr>
        <w:keepNext/>
        <w:spacing w:before="240" w:after="80"/>
      </w:pPr>
      <w:r>
        <w:rPr>
          <w:rFonts w:ascii="Garamond" w:hAnsi="Garamond"/>
          <w:b/>
          <w:color w:val="1B3A5C"/>
          <w:sz w:val="26"/>
        </w:rPr>
        <w:t>2.1. Fundamentos bíblicos</w:t>
      </w:r>
    </w:p>
    <w:p>
      <w:pPr>
        <w:jc w:val="both"/>
      </w:pPr>
      <w:r>
        <w:rPr>
          <w:rFonts w:ascii="Garamond" w:hAnsi="Garamond"/>
          <w:b w:val="0"/>
          <w:i w:val="0"/>
          <w:sz w:val="24"/>
        </w:rPr>
        <w:t>O relato de Génesis 3 revela a origem histórica e teológica da queda. Adão e Eva não desobedeceram por falta de ambiente favorável, pois estavam no jardim de Deus; não pecaram por ausência de mandamento claro, pois a ordem divina fora comunicada; não caíram por carência de dignidade, pois tinham sido criados à imagem de Deus. A queda consistiu em desconfiar da bondade divina, relativizar a Palavra e desejar autonomia moral: “sereis como Deus, sabendo o bem e o mal”. A raiz da perdição é, portanto, idolátrica: a criatura pretende ocupar o lugar do Criador.</w:t>
      </w:r>
    </w:p>
    <w:p>
      <w:pPr>
        <w:jc w:val="both"/>
      </w:pPr>
      <w:r>
        <w:rPr>
          <w:rFonts w:ascii="Garamond" w:hAnsi="Garamond"/>
          <w:b w:val="0"/>
          <w:i w:val="0"/>
          <w:sz w:val="24"/>
        </w:rPr>
        <w:t>Romanos 1.18-32 descreve a humanidade como conhecedora de Deus em alguma medida, mas resistente à verdade. Paulo não diz que os homens nada recebem da revelação divina; afirma que detêm a verdade em injustiça. O problema não é somente ignorância intelectual, mas rebelião moral. A criação anuncia o poder e a divindade de Deus, contudo o coração humano troca a glória incorruptível por imagens corruptíveis. A perdição manifesta-se como troca: troca-se a verdade pela mentira, o Criador pela criatura, a gratidão pela vaidade, a adoração pela idolatria.</w:t>
      </w:r>
    </w:p>
    <w:p>
      <w:pPr>
        <w:jc w:val="both"/>
      </w:pPr>
      <w:r>
        <w:rPr>
          <w:rFonts w:ascii="Garamond" w:hAnsi="Garamond"/>
          <w:b w:val="0"/>
          <w:i w:val="0"/>
          <w:sz w:val="24"/>
        </w:rPr>
        <w:t>Romanos 3.9-20 reúne uma cadeia de textos do Antigo Testamento para demonstrar que judeus e gentios estão debaixo do pecado. A expressão “debaixo do pecado” aponta para domínio e sujeição. O pecado não é apenas uma lista de actos isolados; é um poder que governa a mente, a boca, os pés, as relações e a atitude perante Deus. Paulo fecha todas as saídas de autojustificação: não há justo, não há quem entenda, não há quem busque a Deus de modo salvador por iniciativa própria. A Lei, longe de ser escada para mérito, torna-se espelho que revela a culpa.</w:t>
      </w:r>
    </w:p>
    <w:p>
      <w:pPr>
        <w:jc w:val="both"/>
      </w:pPr>
      <w:r>
        <w:rPr>
          <w:rFonts w:ascii="Garamond" w:hAnsi="Garamond"/>
          <w:b w:val="0"/>
          <w:i w:val="0"/>
          <w:sz w:val="24"/>
        </w:rPr>
        <w:t>Efésios 2.1-3 acrescenta a imagem da morte espiritual. Estar morto em ofensas e pecados não significa deixar de pensar, escolher, amar ou praticar actos socialmente úteis. Significa estar separado da vida de Deus, incapaz de produzir comunhão salvadora, orientado por um curso contrário ao Senhor e necessitado de vivificação. Um morto espiritual pode ser religioso, culto e disciplinado, mas não possui a vida que procede do Espírito. Por isso, a continuação do texto é tão gloriosa: “Mas Deus, que é riquíssimo em misericórdia”.</w:t>
      </w:r>
    </w:p>
    <w:p>
      <w:pPr>
        <w:jc w:val="both"/>
      </w:pPr>
      <w:r>
        <w:rPr>
          <w:rFonts w:ascii="Garamond" w:hAnsi="Garamond"/>
          <w:b w:val="0"/>
          <w:i w:val="0"/>
          <w:sz w:val="24"/>
        </w:rPr>
        <w:t>João 3 mostra que a necessidade humana não é apenas perdão exterior, mas novo nascimento. Nicodemos era mestre de Israel, conhecedor da Lei e pertencente a um ambiente religioso rigoroso. Ainda assim, Jesus declarou: “Necessário vos é nascer de novo”. Se um líder moralmente respeitado precisava de regeneração, então a perdição não pode ser limitada aos escandalosamente imorais. A carne pode produzir religião, reputação e disciplina, mas somente o Espírito produz vida nova.</w:t>
      </w:r>
    </w:p>
    <w:p>
      <w:pPr>
        <w:jc w:val="both"/>
      </w:pPr>
      <w:r>
        <w:rPr>
          <w:rFonts w:ascii="Garamond" w:hAnsi="Garamond"/>
          <w:b w:val="0"/>
          <w:i w:val="0"/>
          <w:sz w:val="24"/>
        </w:rPr>
        <w:t>Por fim, Apocalipse 20.11-15 recorda que a perdição possui dimensão escatológica. O juízo final não é metáfora psicológica, mas acto justo de Deus, diante do qual os mortos são julgados segundo as suas obras. A seriedade desse juízo ilumina a urgência da evangelização. A igreja não anuncia o evangelho apenas para melhorar comunidades, mas porque há eternidade, responsabilidade e um Cordeiro que salva perfeitamente os que por Ele se chegam a Deus.</w:t>
      </w:r>
    </w:p>
    <w:p>
      <w:pPr>
        <w:spacing w:before="120" w:after="120"/>
        <w:ind w:left="850" w:right="567"/>
        <w:jc w:val="both"/>
      </w:pPr>
      <w:r>
        <w:rPr>
          <w:rFonts w:ascii="Garamond" w:hAnsi="Garamond"/>
          <w:i/>
          <w:color w:val="555555"/>
          <w:sz w:val="22"/>
        </w:rPr>
        <w:t>“Pelo que, como por um homem entrou o pecado no mundo, e pelo pecado, a morte, assim também a morte passou a todos os homens, por isso que todos pecaram.”</w:t>
      </w:r>
      <w:r>
        <w:rPr>
          <w:rFonts w:ascii="Garamond" w:hAnsi="Garamond"/>
          <w:i/>
          <w:color w:val="2E7D4F"/>
          <w:sz w:val="20"/>
        </w:rPr>
        <w:t xml:space="preserve">  (Romanos 5.12, ARC)</w:t>
      </w:r>
    </w:p>
    <w:p>
      <w:pPr>
        <w:spacing w:before="120" w:after="120"/>
        <w:ind w:left="850" w:right="567"/>
        <w:jc w:val="both"/>
      </w:pPr>
      <w:r>
        <w:rPr>
          <w:rFonts w:ascii="Garamond" w:hAnsi="Garamond"/>
          <w:i/>
          <w:color w:val="555555"/>
          <w:sz w:val="22"/>
        </w:rPr>
        <w:t>“Como está escrito: Não há um justo, nem um sequer. Não há ninguém que entenda; não há ninguém que busque a Deus.”</w:t>
      </w:r>
      <w:r>
        <w:rPr>
          <w:rFonts w:ascii="Garamond" w:hAnsi="Garamond"/>
          <w:i/>
          <w:color w:val="2E7D4F"/>
          <w:sz w:val="20"/>
        </w:rPr>
        <w:t xml:space="preserve">  (Romanos 3.10-11, ARC)</w:t>
      </w:r>
    </w:p>
    <w:p>
      <w:pPr>
        <w:spacing w:before="120" w:after="120"/>
        <w:ind w:left="850" w:right="567"/>
        <w:jc w:val="both"/>
      </w:pPr>
      <w:r>
        <w:rPr>
          <w:rFonts w:ascii="Garamond" w:hAnsi="Garamond"/>
          <w:i/>
          <w:color w:val="555555"/>
          <w:sz w:val="22"/>
        </w:rPr>
        <w:t>“E vos vivificou, estando vós mortos em ofensas e pecados.”</w:t>
      </w:r>
      <w:r>
        <w:rPr>
          <w:rFonts w:ascii="Garamond" w:hAnsi="Garamond"/>
          <w:i/>
          <w:color w:val="2E7D4F"/>
          <w:sz w:val="20"/>
        </w:rPr>
        <w:t xml:space="preserve">  (Efésios 2.1, ARC)</w:t>
      </w:r>
    </w:p>
    <w:p>
      <w:pPr>
        <w:spacing w:before="120" w:after="120"/>
        <w:ind w:left="850" w:right="567"/>
        <w:jc w:val="both"/>
      </w:pPr>
      <w:r>
        <w:rPr>
          <w:rFonts w:ascii="Garamond" w:hAnsi="Garamond"/>
          <w:i/>
          <w:color w:val="555555"/>
          <w:sz w:val="22"/>
        </w:rPr>
        <w:t>“Enganoso é o coração, mais do que todas as coisas, e perverso; quem o conhecerá?”</w:t>
      </w:r>
      <w:r>
        <w:rPr>
          <w:rFonts w:ascii="Garamond" w:hAnsi="Garamond"/>
          <w:i/>
          <w:color w:val="2E7D4F"/>
          <w:sz w:val="20"/>
        </w:rPr>
        <w:t xml:space="preserve">  (Jeremias 17.9, ARC)</w:t>
      </w:r>
    </w:p>
    <w:p>
      <w:pPr>
        <w:spacing w:before="120" w:after="120"/>
        <w:ind w:left="850" w:right="567"/>
        <w:jc w:val="both"/>
      </w:pPr>
      <w:r>
        <w:rPr>
          <w:rFonts w:ascii="Garamond" w:hAnsi="Garamond"/>
          <w:i/>
          <w:color w:val="555555"/>
          <w:sz w:val="22"/>
        </w:rPr>
        <w:t>“Porque o salário do pecado é a morte, mas o dom gratuito de Deus é a vida eterna, por Cristo Jesus, nosso Senhor.”</w:t>
      </w:r>
      <w:r>
        <w:rPr>
          <w:rFonts w:ascii="Garamond" w:hAnsi="Garamond"/>
          <w:i/>
          <w:color w:val="2E7D4F"/>
          <w:sz w:val="20"/>
        </w:rPr>
        <w:t xml:space="preserve">  (Romanos 6.23, ARC)</w:t>
      </w:r>
    </w:p>
    <w:p>
      <w:pPr>
        <w:keepNext/>
        <w:spacing w:before="240" w:after="80"/>
      </w:pPr>
      <w:r>
        <w:rPr>
          <w:rFonts w:ascii="Garamond" w:hAnsi="Garamond"/>
          <w:b/>
          <w:color w:val="1B3A5C"/>
          <w:sz w:val="26"/>
        </w:rPr>
        <w:t>2.2. Desenvolvimento doutrinário</w:t>
      </w:r>
    </w:p>
    <w:p>
      <w:pPr>
        <w:jc w:val="both"/>
      </w:pPr>
      <w:r>
        <w:rPr>
          <w:rFonts w:ascii="Garamond" w:hAnsi="Garamond"/>
          <w:b w:val="0"/>
          <w:i w:val="0"/>
          <w:sz w:val="24"/>
        </w:rPr>
        <w:t>A doutrina da perdição humana pertence ao campo da hamartiologia, isto é, o estudo bíblico do pecado. A palavra grega hamartia, frequentemente traduzida por pecado, comunica a ideia de errar o alvo, mas a Bíblia não a reduz a falha técnica. Errar o alvo de Deus é uma rebelião contra a finalidade para a qual fomos criados: glorificar o Senhor, viver em comunhão com Ele e reflectir o Seu carácter no mundo. Outros termos ampliam o quadro: parabasis indica transgressão de uma ordem; anomia aponta para falta de lei ou desprezo pela lei; adikia descreve injustiça; asebeia fala de impiedade. Em hebraico, chata' carrega a ideia de pecar ou falhar, pesha' aponta para rebelião, e avon para iniquidade ou culpa torcida.</w:t>
      </w:r>
    </w:p>
    <w:p>
      <w:pPr>
        <w:jc w:val="both"/>
      </w:pPr>
      <w:r>
        <w:rPr>
          <w:rFonts w:ascii="Garamond" w:hAnsi="Garamond"/>
          <w:b w:val="0"/>
          <w:i w:val="0"/>
          <w:sz w:val="24"/>
        </w:rPr>
        <w:t>A perdição envolve culpa judicial. Culpa significa que o pecador é responsável diante do tribunal de Deus. Não basta afirmar que o homem “tem problemas”; a Escritura declara que ele cometeu ofensa contra o Senhor. Davi, depois de pecar contra Urias e Bate-Seba, confessou: “Contra ti, contra ti somente pequei”. Ele não negou o dano causado a pessoas, mas reconheceu que todo pecado possui referência final a Deus. Esta dimensão judicial explica por que a justificação é necessária: o problema inclui condenação, e não apenas doença interior.</w:t>
      </w:r>
    </w:p>
    <w:p>
      <w:pPr>
        <w:jc w:val="both"/>
      </w:pPr>
      <w:r>
        <w:rPr>
          <w:rFonts w:ascii="Garamond" w:hAnsi="Garamond"/>
          <w:b w:val="0"/>
          <w:i w:val="0"/>
          <w:sz w:val="24"/>
        </w:rPr>
        <w:t>A perdição envolve corrupção moral. O pecado não permanece na superfície do comportamento; alcança desejos, imaginação, vontade, memória, consciência e afectos. A tradição cristã chamou esta realidade de depravação, não para afirmar que cada pessoa é tão má quanto poderia ser, mas para confessar que nenhuma parte da natureza humana ficou intocada pela queda. A inteligência pode ser brilhante e, ainda assim, usada para fugir de Deus. A vontade pode ser activa e, ainda assim, inclinada ao próprio senhorio. A afectividade pode ser intensa e, ainda assim, amar desordenadamente a criatura acima do Criador.</w:t>
      </w:r>
    </w:p>
    <w:p>
      <w:pPr>
        <w:jc w:val="both"/>
      </w:pPr>
      <w:r>
        <w:rPr>
          <w:rFonts w:ascii="Garamond" w:hAnsi="Garamond"/>
          <w:b w:val="0"/>
          <w:i w:val="0"/>
          <w:sz w:val="24"/>
        </w:rPr>
        <w:t>A perdição envolve escravidão. Jesus afirmou: “Todo aquele que comete pecado é servo do pecado”. A cultura moderna costuma definir liberdade como capacidade de escolher sem restrições; a Escritura define liberdade verdadeira como capacidade de viver para Deus. Quem escolhe sempre a partir de um coração dominado pelo pecado pode ter muitas opções externas, mas carece da liberdade santa de amar o bem supremo. Por isso, a salvação é também libertação: Cristo não apenas perdoa actos passados; quebra senhorios, desfaz cadeias e transporta o crente do império das trevas para o Reino do Filho do amor de Deus.</w:t>
      </w:r>
    </w:p>
    <w:p>
      <w:pPr>
        <w:jc w:val="both"/>
      </w:pPr>
      <w:r>
        <w:rPr>
          <w:rFonts w:ascii="Garamond" w:hAnsi="Garamond"/>
          <w:b w:val="0"/>
          <w:i w:val="0"/>
          <w:sz w:val="24"/>
        </w:rPr>
        <w:t>A perdição envolve alienação relacional. O pecado separa o homem de Deus, desorganiza a relação consigo mesmo, fere a comunhão familiar, produz injustiça social e gera hostilidade entre povos. Génesis 3 mostra imediatamente vergonha, medo, acusação e fuga. O primeiro casal cobre-se, esconde-se e transfere responsabilidade. Esta dinâmica repete-se na história humana: sociedades tecnologicamente avançadas continuam incapazes de curar o orgulho, a cobiça, a violência, a mentira e a idolatria. A raiz espiritual produz frutos pessoais e colectivos.</w:t>
      </w:r>
    </w:p>
    <w:p>
      <w:pPr>
        <w:jc w:val="both"/>
      </w:pPr>
      <w:r>
        <w:rPr>
          <w:rFonts w:ascii="Garamond" w:hAnsi="Garamond"/>
          <w:b w:val="0"/>
          <w:i w:val="0"/>
          <w:sz w:val="24"/>
        </w:rPr>
        <w:t>A perdição envolve incapacidade espiritual. Esta expressão deve ser entendida com cuidado. O ser humano continua capaz de escolhas reais, de actos civis bons em sentido relativo e de respostas externas à religião. Contudo, sem a graça de Deus, não pode produzir arrependimento salvador, fé viva e amor supremo por Deus. A incapacidade é moral e espiritual, não mecânica: o pecador não vem a Cristo porque ama as trevas mais do que a luz. Por isso, a evangelização depende da Palavra e do Espírito; persuadimos, explicamos e apelamos, mas sabemos que só Deus abre o coração.</w:t>
      </w:r>
    </w:p>
    <w:p>
      <w:pPr>
        <w:jc w:val="both"/>
      </w:pPr>
      <w:r>
        <w:rPr>
          <w:rFonts w:ascii="Garamond" w:hAnsi="Garamond"/>
          <w:b w:val="0"/>
          <w:i w:val="0"/>
          <w:sz w:val="24"/>
        </w:rPr>
        <w:t>A doutrina bíblica da perdição também deve evitar dois desvios. O primeiro é o desespero fatalista, como se a gravidade do pecado anulasse o convite do evangelho. Pelo contrário, a mesma Escritura que diagnostica a morte espiritual proclama: “Olhai para mim e sereis salvos, vós, todos os termos da terra”. O segundo desvio é o optimismo moralista, que imagina ser suficiente educar, motivar ou pressionar o pecador para que ele se reconcilie com Deus. Educação e disciplina têm valor, mas não substituem a regeneração. O homem perdido não precisa apenas de instrução; precisa de Cristo crucificado e ressuscitado.</w:t>
      </w:r>
    </w:p>
    <w:p>
      <w:pPr>
        <w:jc w:val="both"/>
      </w:pPr>
      <w:r>
        <w:rPr>
          <w:rFonts w:ascii="Garamond" w:hAnsi="Garamond"/>
          <w:b w:val="0"/>
          <w:i w:val="0"/>
          <w:sz w:val="24"/>
        </w:rPr>
        <w:t>Historicamente, a igreja teve de defender esta verdade em momentos decisivos. A controvérsia entre Agostinho e Pelágio, nos séculos IV e V, não foi debate abstracto para especialistas; tratava-se da pergunta pastoral sobre a capacidade humana e a necessidade da graça. Pelágio temia que a ênfase na incapacidade enfraquecesse a responsabilidade; Agostinho temia que a ênfase na capacidade humana esvaziasse a graça. A igreja reconheceu que a responsabilidade permanece, mas que o início da salvação pertence à misericórdia divina. Esta memória histórica ajuda-nos a não transformar o evangelho em autoaperfeiçoamento religioso.</w:t>
      </w:r>
    </w:p>
    <w:p>
      <w:pPr>
        <w:keepNext/>
        <w:spacing w:before="160" w:after="40"/>
      </w:pPr>
      <w:r>
        <w:rPr>
          <w:rFonts w:ascii="Garamond" w:hAnsi="Garamond"/>
          <w:b/>
          <w:color w:val="2E7D4F"/>
          <w:sz w:val="23"/>
        </w:rPr>
        <w:t>Definição</w:t>
      </w:r>
    </w:p>
    <w:p>
      <w:pPr>
        <w:jc w:val="both"/>
      </w:pPr>
      <w:r>
        <w:rPr>
          <w:rFonts w:ascii="Garamond" w:hAnsi="Garamond"/>
          <w:b w:val="0"/>
          <w:i w:val="0"/>
          <w:sz w:val="24"/>
        </w:rPr>
        <w:t>O estado de perdição do ser humano é a condição espiritual, moral, judicial e relacional da humanidade caída em Adão, caracterizada por culpa diante de Deus, corrupção do coração, escravidão ao pecado, morte espiritual, alienação da comunhão divina e exposição ao justo juízo, da qual ninguém pode sair por mérito próprio, mas somente pela graça salvadora de Deus revelada em Jesus Cristo.</w:t>
      </w:r>
    </w:p>
    <w:p>
      <w:pPr>
        <w:keepNext/>
        <w:spacing w:before="160" w:after="40"/>
      </w:pPr>
      <w:r>
        <w:rPr>
          <w:rFonts w:ascii="Garamond" w:hAnsi="Garamond"/>
          <w:b/>
          <w:color w:val="2E7D4F"/>
          <w:sz w:val="23"/>
        </w:rPr>
        <w:t>Aspectos principais</w:t>
      </w:r>
    </w:p>
    <w:p>
      <w:pPr>
        <w:spacing w:after="40"/>
        <w:ind w:left="454" w:hanging="283"/>
        <w:jc w:val="both"/>
      </w:pPr>
      <w:r>
        <w:rPr>
          <w:rFonts w:ascii="Garamond" w:hAnsi="Garamond"/>
          <w:b/>
          <w:color w:val="2E7D4F"/>
          <w:sz w:val="24"/>
        </w:rPr>
        <w:t xml:space="preserve">1. </w:t>
      </w:r>
      <w:r>
        <w:rPr>
          <w:rFonts w:ascii="Garamond" w:hAnsi="Garamond"/>
          <w:sz w:val="24"/>
        </w:rPr>
        <w:t>Culpa diante de Deus — o pecado é ofensa objectiva contra o Senhor santo; por isso, a salvação precisa incluir perdão, propiciação, justificação e reconciliação, e não apenas aconselhamento moral.</w:t>
      </w:r>
    </w:p>
    <w:p>
      <w:pPr>
        <w:spacing w:after="40"/>
        <w:ind w:left="454" w:hanging="283"/>
        <w:jc w:val="both"/>
      </w:pPr>
      <w:r>
        <w:rPr>
          <w:rFonts w:ascii="Garamond" w:hAnsi="Garamond"/>
          <w:b/>
          <w:color w:val="2E7D4F"/>
          <w:sz w:val="24"/>
        </w:rPr>
        <w:t xml:space="preserve">2. </w:t>
      </w:r>
      <w:r>
        <w:rPr>
          <w:rFonts w:ascii="Garamond" w:hAnsi="Garamond"/>
          <w:sz w:val="24"/>
        </w:rPr>
        <w:t>Corrupção do coração — a queda desordenou o centro interior do ser humano; pensamentos, desejos e decisões necessitam de renovação profunda, não apenas de uma camada externa de religiosidade.</w:t>
      </w:r>
    </w:p>
    <w:p>
      <w:pPr>
        <w:spacing w:after="40"/>
        <w:ind w:left="454" w:hanging="283"/>
        <w:jc w:val="both"/>
      </w:pPr>
      <w:r>
        <w:rPr>
          <w:rFonts w:ascii="Garamond" w:hAnsi="Garamond"/>
          <w:b/>
          <w:color w:val="2E7D4F"/>
          <w:sz w:val="24"/>
        </w:rPr>
        <w:t xml:space="preserve">3. </w:t>
      </w:r>
      <w:r>
        <w:rPr>
          <w:rFonts w:ascii="Garamond" w:hAnsi="Garamond"/>
          <w:sz w:val="24"/>
        </w:rPr>
        <w:t>Morte espiritual — sem a vida comunicada pelo Espírito, o homem pode existir biologicamente e funcionar socialmente, mas permanece separado da vida de Deus e incapaz de gerar a sua própria regeneração.</w:t>
      </w:r>
    </w:p>
    <w:p>
      <w:pPr>
        <w:spacing w:after="40"/>
        <w:ind w:left="454" w:hanging="283"/>
        <w:jc w:val="both"/>
      </w:pPr>
      <w:r>
        <w:rPr>
          <w:rFonts w:ascii="Garamond" w:hAnsi="Garamond"/>
          <w:b/>
          <w:color w:val="2E7D4F"/>
          <w:sz w:val="24"/>
        </w:rPr>
        <w:t xml:space="preserve">4. </w:t>
      </w:r>
      <w:r>
        <w:rPr>
          <w:rFonts w:ascii="Garamond" w:hAnsi="Garamond"/>
          <w:sz w:val="24"/>
        </w:rPr>
        <w:t>Escravidão e domínio — o pecado actua como senhor ilegítimo, prometendo liberdade enquanto aprisiona; a obra de Cristo deve ser anunciada como libertação real e transferência de domínio.</w:t>
      </w:r>
    </w:p>
    <w:p>
      <w:pPr>
        <w:spacing w:after="40"/>
        <w:ind w:left="454" w:hanging="283"/>
        <w:jc w:val="both"/>
      </w:pPr>
      <w:r>
        <w:rPr>
          <w:rFonts w:ascii="Garamond" w:hAnsi="Garamond"/>
          <w:b/>
          <w:color w:val="2E7D4F"/>
          <w:sz w:val="24"/>
        </w:rPr>
        <w:t xml:space="preserve">5. </w:t>
      </w:r>
      <w:r>
        <w:rPr>
          <w:rFonts w:ascii="Garamond" w:hAnsi="Garamond"/>
          <w:sz w:val="24"/>
        </w:rPr>
        <w:t>Juízo e urgência — a perdição presente caminha para prestação final de contas; por isso, o evangelho exige resposta hoje e a igreja deve evangelizar com lágrimas, verdade e esperança.</w:t>
      </w:r>
    </w:p>
    <w:p>
      <w:pPr>
        <w:keepNext/>
        <w:spacing w:before="240" w:after="80"/>
      </w:pPr>
      <w:r>
        <w:rPr>
          <w:rFonts w:ascii="Garamond" w:hAnsi="Garamond"/>
          <w:b/>
          <w:color w:val="1B3A5C"/>
          <w:sz w:val="26"/>
        </w:rPr>
        <w:t>2.3. Possíveis dúvidas e equívocos comuns</w:t>
      </w:r>
    </w:p>
    <w:p>
      <w:pPr>
        <w:jc w:val="both"/>
      </w:pPr>
      <w:r>
        <w:rPr>
          <w:rFonts w:ascii="Garamond" w:hAnsi="Garamond"/>
          <w:b w:val="0"/>
          <w:i w:val="0"/>
          <w:sz w:val="24"/>
        </w:rPr>
        <w:t>Um equívoco comum afirma que o ser humano é basicamente bom e apenas precisa de melhores condições para manifestar essa bondade. A Bíblia reconhece a importância de contextos, educação e justiça social, mas não localiza a raiz do mal apenas fora do homem. Jesus ensinou que do coração procedem maus pensamentos, homicídios, adultérios, prostituição, furtos, falsos testemunhos e blasfémias. Ambientes melhores podem conter certas expressões do pecado, mas não removem a fonte interior que precisa de purificação e vida nova.</w:t>
      </w:r>
    </w:p>
    <w:p>
      <w:pPr>
        <w:jc w:val="both"/>
      </w:pPr>
      <w:r>
        <w:rPr>
          <w:rFonts w:ascii="Garamond" w:hAnsi="Garamond"/>
          <w:b w:val="0"/>
          <w:i w:val="0"/>
          <w:sz w:val="24"/>
        </w:rPr>
        <w:t>Outro equívoco diz que perdição é assunto apenas para criminosos, ateus agressivos ou pessoas moralmente escandalosas. Nicodemos corrige esta ilusão. Um mestre religioso, respeitado e conhecedor das Escrituras ouviu de Jesus que precisava nascer de novo. A perdição não é medida por comparação horizontal com pessoas piores; é medida pela glória de Deus. “Todos pecaram” inclui o religioso disciplinado, o cidadão honesto, o jovem criado na igreja, o líder influente e o descrente indiferente. Todos necessitam da mesma graça, ainda que os frutos visíveis do pecado variem.</w:t>
      </w:r>
    </w:p>
    <w:p>
      <w:pPr>
        <w:jc w:val="both"/>
      </w:pPr>
      <w:r>
        <w:rPr>
          <w:rFonts w:ascii="Garamond" w:hAnsi="Garamond"/>
          <w:b w:val="0"/>
          <w:i w:val="0"/>
          <w:sz w:val="24"/>
        </w:rPr>
        <w:t>Também se deve rejeitar a ideia de que falar da perdição humana é falta de amor. Falta de amor é esconder o diagnóstico quando existe remédio em Cristo. O tom bíblico, contudo, nunca autoriza arrogância. Quem anuncia a perdição deve fazê-lo como pecador alcançado pela misericórdia, não como juiz superior. A doutrina humilha o evangelizador antes de confrontar o ouvinte: se estou salvo, não é porque fui mais sensível, inteligente ou digno, mas porque Deus foi rico em misericórdia.</w:t>
      </w:r>
    </w:p>
    <w:p>
      <w:pPr>
        <w:keepNext/>
        <w:spacing w:before="240" w:after="80"/>
      </w:pPr>
      <w:r>
        <w:rPr>
          <w:rFonts w:ascii="Garamond" w:hAnsi="Garamond"/>
          <w:b/>
          <w:color w:val="1B3A5C"/>
          <w:sz w:val="26"/>
        </w:rPr>
        <w:t>2.4. Quadro de Destaque</w:t>
      </w:r>
    </w:p>
    <w:tbl>
      <w:tblPr>
        <w:tblW w:type="auto" w:w="0"/>
        <w:tblLook w:firstColumn="1" w:firstRow="1" w:lastColumn="0" w:lastRow="0" w:noHBand="0" w:noVBand="1" w:val="04A0"/>
      </w:tblPr>
      <w:tblGrid>
        <w:gridCol w:w="8788"/>
      </w:tblGrid>
      <w:tr>
        <w:tc>
          <w:tcPr>
            <w:tcW w:type="dxa" w:w="8788"/>
            <w:shd w:val="clear" w:color="auto" w:fill="E8F1EC"/>
          </w:tcPr>
          <w:p>
            <w:pPr>
              <w:jc w:val="left"/>
            </w:pPr>
            <w:r/>
            <w:r>
              <w:rPr>
                <w:rFonts w:ascii="Garamond" w:hAnsi="Garamond"/>
                <w:b/>
                <w:color w:val="2E7D4F"/>
                <w:sz w:val="22"/>
              </w:rPr>
              <w:t xml:space="preserve">✦ Para reter:  </w:t>
            </w:r>
            <w:r>
              <w:rPr>
                <w:rFonts w:ascii="Garamond" w:hAnsi="Garamond"/>
                <w:i/>
                <w:sz w:val="22"/>
              </w:rPr>
              <w:t>A perdição humana é mais profunda do que maus hábitos e mais grave do que culpa social: é morte espiritual diante de Deus. Só a graça em Cristo responde adequadamente a tal condição.</w:t>
            </w:r>
          </w:p>
        </w:tc>
      </w:tr>
    </w:tbl>
    <w:p>
      <w:r>
        <w:br w:type="page"/>
      </w:r>
    </w:p>
    <w:p>
      <w:pPr>
        <w:keepNext/>
        <w:spacing w:before="360" w:after="120"/>
        <w:jc w:val="left"/>
        <w:pBdr>
          <w:bottom w:val="single" w:sz="6" w:space="1" w:color="1B3A5C"/>
        </w:pBdr>
      </w:pPr>
      <w:r>
        <w:rPr>
          <w:rFonts w:ascii="Garamond" w:hAnsi="Garamond"/>
          <w:b/>
          <w:color w:val="1B3A5C"/>
          <w:sz w:val="30"/>
        </w:rPr>
        <w:t>3. APLICAÇÃO PRÁTICA</w:t>
      </w:r>
    </w:p>
    <w:p>
      <w:pPr>
        <w:spacing w:after="40"/>
        <w:ind w:left="454" w:hanging="283"/>
        <w:jc w:val="both"/>
      </w:pPr>
      <w:r>
        <w:rPr>
          <w:rFonts w:ascii="Garamond" w:hAnsi="Garamond"/>
          <w:b/>
          <w:color w:val="2E7D4F"/>
          <w:sz w:val="24"/>
        </w:rPr>
        <w:t xml:space="preserve">1. </w:t>
      </w:r>
      <w:r>
        <w:rPr>
          <w:rFonts w:ascii="Garamond" w:hAnsi="Garamond"/>
          <w:sz w:val="24"/>
        </w:rPr>
        <w:t>Na vida pessoal e devocional — Examine as suas confissões de pecado para perceber se são meras desculpas ou verdadeiro reconhecimento diante de Deus. Ao orar, abandone frases vagas como “falhei em algumas coisas” e nomeie pecados concretos à luz da santidade divina, confiando na suficiência de Cristo.</w:t>
      </w:r>
    </w:p>
    <w:p>
      <w:pPr>
        <w:spacing w:after="40"/>
        <w:ind w:left="454" w:hanging="283"/>
        <w:jc w:val="both"/>
      </w:pPr>
      <w:r>
        <w:rPr>
          <w:rFonts w:ascii="Garamond" w:hAnsi="Garamond"/>
          <w:b/>
          <w:color w:val="2E7D4F"/>
          <w:sz w:val="24"/>
        </w:rPr>
        <w:t xml:space="preserve">2. </w:t>
      </w:r>
      <w:r>
        <w:rPr>
          <w:rFonts w:ascii="Garamond" w:hAnsi="Garamond"/>
          <w:sz w:val="24"/>
        </w:rPr>
        <w:t>Na família — Ensine filhos e familiares que disciplina, boa educação e bons costumes são importantes, mas não substituem conversão. A família cristã não deve criar apenas pessoas socialmente correctas; deve apontar cada coração para arrependimento, fé, perdão e novo nascimento.</w:t>
      </w:r>
    </w:p>
    <w:p>
      <w:pPr>
        <w:spacing w:after="40"/>
        <w:ind w:left="454" w:hanging="283"/>
        <w:jc w:val="both"/>
      </w:pPr>
      <w:r>
        <w:rPr>
          <w:rFonts w:ascii="Garamond" w:hAnsi="Garamond"/>
          <w:b/>
          <w:color w:val="2E7D4F"/>
          <w:sz w:val="24"/>
        </w:rPr>
        <w:t xml:space="preserve">3. </w:t>
      </w:r>
      <w:r>
        <w:rPr>
          <w:rFonts w:ascii="Garamond" w:hAnsi="Garamond"/>
          <w:sz w:val="24"/>
        </w:rPr>
        <w:t>Na igreja local — Avalie se a pregação, o aconselhamento e os programas da igreja tratam o pecado de modo bíblico. Uma comunidade pode oferecer actividades excelentes e, ainda assim, falhar se nunca explicar culpa, arrependimento, cruz, regeneração e juízo com clareza pastoral.</w:t>
      </w:r>
    </w:p>
    <w:p>
      <w:pPr>
        <w:spacing w:after="40"/>
        <w:ind w:left="454" w:hanging="283"/>
        <w:jc w:val="both"/>
      </w:pPr>
      <w:r>
        <w:rPr>
          <w:rFonts w:ascii="Garamond" w:hAnsi="Garamond"/>
          <w:b/>
          <w:color w:val="2E7D4F"/>
          <w:sz w:val="24"/>
        </w:rPr>
        <w:t xml:space="preserve">4. </w:t>
      </w:r>
      <w:r>
        <w:rPr>
          <w:rFonts w:ascii="Garamond" w:hAnsi="Garamond"/>
          <w:sz w:val="24"/>
        </w:rPr>
        <w:t>No trabalho e na sociedade — A doutrina da perdição ajuda a compreender por que sistemas, leis e políticas, embora necessários, não conseguem redimir o coração humano. O crente deve praticar justiça pública, mas sem esperar que estruturas externas façam o que somente o evangelho pode fazer no interior.</w:t>
      </w:r>
    </w:p>
    <w:p>
      <w:pPr>
        <w:spacing w:after="40"/>
        <w:ind w:left="454" w:hanging="283"/>
        <w:jc w:val="both"/>
      </w:pPr>
      <w:r>
        <w:rPr>
          <w:rFonts w:ascii="Garamond" w:hAnsi="Garamond"/>
          <w:b/>
          <w:color w:val="2E7D4F"/>
          <w:sz w:val="24"/>
        </w:rPr>
        <w:t xml:space="preserve">5. </w:t>
      </w:r>
      <w:r>
        <w:rPr>
          <w:rFonts w:ascii="Garamond" w:hAnsi="Garamond"/>
          <w:sz w:val="24"/>
        </w:rPr>
        <w:t>No exercício ministerial — Ao evangelizar, comece pela realidade de Deus e da condição humana, não apenas por promessas de sucesso, cura ou bem-estar. Explique a má notícia com lágrimas e respeito, para que a boa notícia da graça seja compreendida como resgate e não como adorno religioso.</w:t>
      </w:r>
    </w:p>
    <w:p>
      <w:pPr>
        <w:keepNext/>
        <w:spacing w:before="360" w:after="120"/>
        <w:jc w:val="left"/>
        <w:pBdr>
          <w:bottom w:val="single" w:sz="6" w:space="1" w:color="1B3A5C"/>
        </w:pBdr>
      </w:pPr>
      <w:r>
        <w:rPr>
          <w:rFonts w:ascii="Garamond" w:hAnsi="Garamond"/>
          <w:b/>
          <w:color w:val="1B3A5C"/>
          <w:sz w:val="30"/>
        </w:rPr>
        <w:t>4. SÍNTESE E CONCLUSÃO</w:t>
      </w:r>
    </w:p>
    <w:p>
      <w:pPr>
        <w:jc w:val="both"/>
      </w:pPr>
      <w:r>
        <w:rPr>
          <w:rFonts w:ascii="Garamond" w:hAnsi="Garamond"/>
          <w:b w:val="0"/>
          <w:i w:val="0"/>
          <w:sz w:val="24"/>
        </w:rPr>
        <w:t>Estudámos que o ser humano, criado para a glória de Deus, encontra-se perdido em razão do pecado: culpado, corrompido, escravizado, espiritualmente morto e sujeito ao juízo. Esta verdade não deve produzir orgulho nos que conhecem a doutrina, mas quebrantamento, gratidão e urgência missionária. Se a condição humana é tão grave, então a salvação precisa ser totalmente graciosa, profundamente transformadora e centrada em Cristo; por isso, aproximemo-nos da próxima apostila com o coração preparado para contemplar a graça de Deus em toda a sua beleza.</w:t>
      </w:r>
    </w:p>
    <w:p>
      <w:pPr>
        <w:spacing w:before="120" w:after="120"/>
        <w:ind w:left="850" w:right="567"/>
        <w:jc w:val="both"/>
      </w:pPr>
      <w:r>
        <w:rPr>
          <w:rFonts w:ascii="Garamond" w:hAnsi="Garamond"/>
          <w:i/>
          <w:color w:val="555555"/>
          <w:sz w:val="22"/>
        </w:rPr>
        <w:t>“Mas Deus prova o seu amor para connosco em que Cristo morreu por nós, sendo nós ainda pecadores.”</w:t>
      </w:r>
      <w:r>
        <w:rPr>
          <w:rFonts w:ascii="Garamond" w:hAnsi="Garamond"/>
          <w:i/>
          <w:color w:val="2E7D4F"/>
          <w:sz w:val="20"/>
        </w:rPr>
        <w:t xml:space="preserve">  (Romanos 5.8, ARC)</w:t>
      </w:r>
    </w:p>
    <w:p>
      <w:r>
        <w:br w:type="page"/>
      </w:r>
    </w:p>
    <w:p>
      <w:pPr>
        <w:keepNext/>
        <w:spacing w:before="360" w:after="120"/>
        <w:jc w:val="left"/>
        <w:pBdr>
          <w:bottom w:val="single" w:sz="6" w:space="1" w:color="1B3A5C"/>
        </w:pBdr>
      </w:pPr>
      <w:r>
        <w:rPr>
          <w:rFonts w:ascii="Garamond" w:hAnsi="Garamond"/>
          <w:b/>
          <w:color w:val="1B3A5C"/>
          <w:sz w:val="30"/>
        </w:rPr>
        <w:t>EXERCÍCIOS DE REVISÃO</w:t>
      </w:r>
    </w:p>
    <w:p>
      <w:pPr>
        <w:jc w:val="both"/>
      </w:pPr>
      <w:r>
        <w:rPr>
          <w:rFonts w:ascii="Garamond" w:hAnsi="Garamond"/>
          <w:b w:val="0"/>
          <w:i w:val="0"/>
          <w:sz w:val="24"/>
        </w:rPr>
        <w:t>Responda às questões a seguir com base no conteúdo desta apostila e na sua leitura bíblica.</w:t>
      </w:r>
    </w:p>
    <w:p>
      <w:pPr>
        <w:keepNext/>
        <w:spacing w:before="160" w:after="40"/>
      </w:pPr>
      <w:r>
        <w:rPr>
          <w:rFonts w:ascii="Garamond" w:hAnsi="Garamond"/>
          <w:b/>
          <w:color w:val="2E7D4F"/>
          <w:sz w:val="23"/>
        </w:rPr>
        <w:t>I — Verifique a sua compreensão</w:t>
      </w:r>
    </w:p>
    <w:p>
      <w:pPr>
        <w:spacing w:after="40"/>
        <w:ind w:left="454" w:hanging="283"/>
        <w:jc w:val="both"/>
      </w:pPr>
      <w:r>
        <w:rPr>
          <w:rFonts w:ascii="Garamond" w:hAnsi="Garamond"/>
          <w:b/>
          <w:color w:val="2E7D4F"/>
          <w:sz w:val="24"/>
        </w:rPr>
        <w:t xml:space="preserve">1. </w:t>
      </w:r>
      <w:r>
        <w:rPr>
          <w:rFonts w:ascii="Garamond" w:hAnsi="Garamond"/>
          <w:sz w:val="24"/>
        </w:rPr>
        <w:t>Explique por que a perdição humana não pode ser reduzida a falta de educação religiosa ou a comportamento socialmente inadequado.</w:t>
      </w:r>
    </w:p>
    <w:p>
      <w:pPr>
        <w:spacing w:after="40"/>
        <w:ind w:left="454" w:hanging="283"/>
        <w:jc w:val="both"/>
      </w:pPr>
      <w:r>
        <w:rPr>
          <w:rFonts w:ascii="Garamond" w:hAnsi="Garamond"/>
          <w:b/>
          <w:color w:val="2E7D4F"/>
          <w:sz w:val="24"/>
        </w:rPr>
        <w:t xml:space="preserve">2. </w:t>
      </w:r>
      <w:r>
        <w:rPr>
          <w:rFonts w:ascii="Garamond" w:hAnsi="Garamond"/>
          <w:sz w:val="24"/>
        </w:rPr>
        <w:t>Quais são as diferenças entre culpa judicial, corrupção moral e morte espiritual? Dê uma referência bíblica para cada dimensão.</w:t>
      </w:r>
    </w:p>
    <w:p>
      <w:pPr>
        <w:spacing w:after="40"/>
        <w:ind w:left="454" w:hanging="283"/>
        <w:jc w:val="both"/>
      </w:pPr>
      <w:r>
        <w:rPr>
          <w:rFonts w:ascii="Garamond" w:hAnsi="Garamond"/>
          <w:b/>
          <w:color w:val="2E7D4F"/>
          <w:sz w:val="24"/>
        </w:rPr>
        <w:t xml:space="preserve">3. </w:t>
      </w:r>
      <w:r>
        <w:rPr>
          <w:rFonts w:ascii="Garamond" w:hAnsi="Garamond"/>
          <w:sz w:val="24"/>
        </w:rPr>
        <w:t>Segundo Romanos 3.9-20, qual é a função da Lei na demonstração da culpa humana?</w:t>
      </w:r>
    </w:p>
    <w:p>
      <w:pPr>
        <w:spacing w:after="40"/>
        <w:ind w:left="454" w:hanging="283"/>
        <w:jc w:val="both"/>
      </w:pPr>
      <w:r>
        <w:rPr>
          <w:rFonts w:ascii="Garamond" w:hAnsi="Garamond"/>
          <w:b/>
          <w:color w:val="2E7D4F"/>
          <w:sz w:val="24"/>
        </w:rPr>
        <w:t xml:space="preserve">4. </w:t>
      </w:r>
      <w:r>
        <w:rPr>
          <w:rFonts w:ascii="Garamond" w:hAnsi="Garamond"/>
          <w:sz w:val="24"/>
        </w:rPr>
        <w:t>Como João 3 ajuda a perceber que pessoas religiosas também precisam de novo nascimento?</w:t>
      </w:r>
    </w:p>
    <w:p>
      <w:pPr>
        <w:spacing w:after="40"/>
        <w:ind w:left="454" w:hanging="283"/>
        <w:jc w:val="both"/>
      </w:pPr>
      <w:r>
        <w:rPr>
          <w:rFonts w:ascii="Garamond" w:hAnsi="Garamond"/>
          <w:b/>
          <w:color w:val="2E7D4F"/>
          <w:sz w:val="24"/>
        </w:rPr>
        <w:t xml:space="preserve">5. </w:t>
      </w:r>
      <w:r>
        <w:rPr>
          <w:rFonts w:ascii="Garamond" w:hAnsi="Garamond"/>
          <w:sz w:val="24"/>
        </w:rPr>
        <w:t>Defina, com as suas palavras, hamartiologia e explique por que este tema é necessário antes de estudar a graça.</w:t>
      </w:r>
    </w:p>
    <w:p>
      <w:pPr>
        <w:keepNext/>
        <w:spacing w:before="160" w:after="40"/>
      </w:pPr>
      <w:r>
        <w:rPr>
          <w:rFonts w:ascii="Garamond" w:hAnsi="Garamond"/>
          <w:b/>
          <w:color w:val="2E7D4F"/>
          <w:sz w:val="23"/>
        </w:rPr>
        <w:t>II — Reflexão pessoal</w:t>
      </w:r>
    </w:p>
    <w:p>
      <w:pPr>
        <w:spacing w:after="40"/>
        <w:ind w:left="454" w:hanging="283"/>
        <w:jc w:val="both"/>
      </w:pPr>
      <w:r>
        <w:rPr>
          <w:rFonts w:ascii="Garamond" w:hAnsi="Garamond"/>
          <w:b/>
          <w:color w:val="2E7D4F"/>
          <w:sz w:val="24"/>
        </w:rPr>
        <w:t xml:space="preserve">1. </w:t>
      </w:r>
      <w:r>
        <w:rPr>
          <w:rFonts w:ascii="Garamond" w:hAnsi="Garamond"/>
          <w:sz w:val="24"/>
        </w:rPr>
        <w:t>Em que áreas da sua vida é mais fácil justificar-se por comparação com pessoas que considera piores? Como Romanos 3.23 confronta essa tendência?</w:t>
      </w:r>
    </w:p>
    <w:p>
      <w:pPr>
        <w:spacing w:after="40"/>
        <w:ind w:left="454" w:hanging="283"/>
        <w:jc w:val="both"/>
      </w:pPr>
      <w:r>
        <w:rPr>
          <w:rFonts w:ascii="Garamond" w:hAnsi="Garamond"/>
          <w:b/>
          <w:color w:val="2E7D4F"/>
          <w:sz w:val="24"/>
        </w:rPr>
        <w:t xml:space="preserve">2. </w:t>
      </w:r>
      <w:r>
        <w:rPr>
          <w:rFonts w:ascii="Garamond" w:hAnsi="Garamond"/>
          <w:sz w:val="24"/>
        </w:rPr>
        <w:t>Quando confessa pecados a Deus, tende a tratar o pecado como erro, fraqueza, vítima das circunstâncias ou ofensa contra o Senhor? Justifique a sua resposta.</w:t>
      </w:r>
    </w:p>
    <w:p>
      <w:pPr>
        <w:spacing w:after="40"/>
        <w:ind w:left="454" w:hanging="283"/>
        <w:jc w:val="both"/>
      </w:pPr>
      <w:r>
        <w:rPr>
          <w:rFonts w:ascii="Garamond" w:hAnsi="Garamond"/>
          <w:b/>
          <w:color w:val="2E7D4F"/>
          <w:sz w:val="24"/>
        </w:rPr>
        <w:t xml:space="preserve">3. </w:t>
      </w:r>
      <w:r>
        <w:rPr>
          <w:rFonts w:ascii="Garamond" w:hAnsi="Garamond"/>
          <w:sz w:val="24"/>
        </w:rPr>
        <w:t>Que aspectos da doutrina da perdição aumentam a sua gratidão pela cruz de Cristo?</w:t>
      </w:r>
    </w:p>
    <w:p>
      <w:pPr>
        <w:spacing w:after="40"/>
        <w:ind w:left="454" w:hanging="283"/>
        <w:jc w:val="both"/>
      </w:pPr>
      <w:r>
        <w:rPr>
          <w:rFonts w:ascii="Garamond" w:hAnsi="Garamond"/>
          <w:b/>
          <w:color w:val="2E7D4F"/>
          <w:sz w:val="24"/>
        </w:rPr>
        <w:t xml:space="preserve">4. </w:t>
      </w:r>
      <w:r>
        <w:rPr>
          <w:rFonts w:ascii="Garamond" w:hAnsi="Garamond"/>
          <w:sz w:val="24"/>
        </w:rPr>
        <w:t>Como evitar que esta doutrina produza dureza no trato com pessoas ainda não convertidas?</w:t>
      </w:r>
    </w:p>
    <w:p>
      <w:pPr>
        <w:keepNext/>
        <w:spacing w:before="160" w:after="40"/>
      </w:pPr>
      <w:r>
        <w:rPr>
          <w:rFonts w:ascii="Garamond" w:hAnsi="Garamond"/>
          <w:b/>
          <w:color w:val="2E7D4F"/>
          <w:sz w:val="23"/>
        </w:rPr>
        <w:t>III — Ministério e serviço</w:t>
      </w:r>
    </w:p>
    <w:p>
      <w:pPr>
        <w:spacing w:after="40"/>
        <w:ind w:left="454" w:hanging="283"/>
        <w:jc w:val="both"/>
      </w:pPr>
      <w:r>
        <w:rPr>
          <w:rFonts w:ascii="Garamond" w:hAnsi="Garamond"/>
          <w:b/>
          <w:color w:val="2E7D4F"/>
          <w:sz w:val="24"/>
        </w:rPr>
        <w:t xml:space="preserve">1. </w:t>
      </w:r>
      <w:r>
        <w:rPr>
          <w:rFonts w:ascii="Garamond" w:hAnsi="Garamond"/>
          <w:sz w:val="24"/>
        </w:rPr>
        <w:t>Prepare uma explicação evangelística de três minutos sobre a condição humana sem Cristo, usando Romanos 3.23 e Efésios 2.1, com tom respeitoso e compassivo.</w:t>
      </w:r>
    </w:p>
    <w:p>
      <w:pPr>
        <w:spacing w:after="40"/>
        <w:ind w:left="454" w:hanging="283"/>
        <w:jc w:val="both"/>
      </w:pPr>
      <w:r>
        <w:rPr>
          <w:rFonts w:ascii="Garamond" w:hAnsi="Garamond"/>
          <w:b/>
          <w:color w:val="2E7D4F"/>
          <w:sz w:val="24"/>
        </w:rPr>
        <w:t xml:space="preserve">2. </w:t>
      </w:r>
      <w:r>
        <w:rPr>
          <w:rFonts w:ascii="Garamond" w:hAnsi="Garamond"/>
          <w:sz w:val="24"/>
        </w:rPr>
        <w:t>Identifique uma prática da sua igreja ou ministério que poderia comunicar melhor a necessidade de arrependimento e novo nascimento.</w:t>
      </w:r>
    </w:p>
    <w:p>
      <w:pPr>
        <w:spacing w:after="40"/>
        <w:ind w:left="454" w:hanging="283"/>
        <w:jc w:val="both"/>
      </w:pPr>
      <w:r>
        <w:rPr>
          <w:rFonts w:ascii="Garamond" w:hAnsi="Garamond"/>
          <w:b/>
          <w:color w:val="2E7D4F"/>
          <w:sz w:val="24"/>
        </w:rPr>
        <w:t xml:space="preserve">3. </w:t>
      </w:r>
      <w:r>
        <w:rPr>
          <w:rFonts w:ascii="Garamond" w:hAnsi="Garamond"/>
          <w:sz w:val="24"/>
        </w:rPr>
        <w:t>Escreva uma breve oração intercessória por alguém que ainda não conhece Cristo, incluindo a dependência do Espírito Santo para abrir o coração.</w:t>
      </w:r>
    </w:p>
    <w:p>
      <w:pPr>
        <w:keepNext/>
        <w:spacing w:before="360" w:after="120"/>
        <w:jc w:val="left"/>
        <w:pBdr>
          <w:bottom w:val="single" w:sz="6" w:space="1" w:color="1B3A5C"/>
        </w:pBdr>
      </w:pPr>
      <w:r>
        <w:rPr>
          <w:rFonts w:ascii="Garamond" w:hAnsi="Garamond"/>
          <w:b/>
          <w:color w:val="1B3A5C"/>
          <w:sz w:val="30"/>
        </w:rPr>
        <w:t>ESTUDO BÍBLICO COMPLEMENTAR</w:t>
      </w:r>
    </w:p>
    <w:p>
      <w:pPr>
        <w:jc w:val="both"/>
      </w:pPr>
      <w:r>
        <w:rPr>
          <w:rFonts w:ascii="Garamond" w:hAnsi="Garamond"/>
          <w:b w:val="0"/>
          <w:i w:val="0"/>
          <w:sz w:val="24"/>
        </w:rPr>
        <w:t>Leia atentamente Efésios 2.1-10 e responda:</w:t>
      </w:r>
    </w:p>
    <w:p>
      <w:pPr>
        <w:spacing w:after="40"/>
        <w:ind w:left="454" w:hanging="283"/>
        <w:jc w:val="both"/>
      </w:pPr>
      <w:r>
        <w:rPr>
          <w:rFonts w:ascii="Garamond" w:hAnsi="Garamond"/>
          <w:b/>
          <w:color w:val="2E7D4F"/>
          <w:sz w:val="24"/>
        </w:rPr>
        <w:t xml:space="preserve">1. </w:t>
      </w:r>
      <w:r>
        <w:rPr>
          <w:rFonts w:ascii="Garamond" w:hAnsi="Garamond"/>
          <w:sz w:val="24"/>
        </w:rPr>
        <w:t>Que expressões Paulo usa para descrever a condição anterior dos crentes?</w:t>
      </w:r>
    </w:p>
    <w:p>
      <w:pPr>
        <w:spacing w:after="40"/>
        <w:ind w:left="454" w:hanging="283"/>
        <w:jc w:val="both"/>
      </w:pPr>
      <w:r>
        <w:rPr>
          <w:rFonts w:ascii="Garamond" w:hAnsi="Garamond"/>
          <w:b/>
          <w:color w:val="2E7D4F"/>
          <w:sz w:val="24"/>
        </w:rPr>
        <w:t xml:space="preserve">2. </w:t>
      </w:r>
      <w:r>
        <w:rPr>
          <w:rFonts w:ascii="Garamond" w:hAnsi="Garamond"/>
          <w:sz w:val="24"/>
        </w:rPr>
        <w:t>Quais forças influenciavam a vida do homem sem Cristo segundo os versículos 2 e 3?</w:t>
      </w:r>
    </w:p>
    <w:p>
      <w:pPr>
        <w:spacing w:after="40"/>
        <w:ind w:left="454" w:hanging="283"/>
        <w:jc w:val="both"/>
      </w:pPr>
      <w:r>
        <w:rPr>
          <w:rFonts w:ascii="Garamond" w:hAnsi="Garamond"/>
          <w:b/>
          <w:color w:val="2E7D4F"/>
          <w:sz w:val="24"/>
        </w:rPr>
        <w:t xml:space="preserve">3. </w:t>
      </w:r>
      <w:r>
        <w:rPr>
          <w:rFonts w:ascii="Garamond" w:hAnsi="Garamond"/>
          <w:sz w:val="24"/>
        </w:rPr>
        <w:t>O que muda no texto quando aparece a expressão “Mas Deus”?</w:t>
      </w:r>
    </w:p>
    <w:p>
      <w:pPr>
        <w:spacing w:after="40"/>
        <w:ind w:left="454" w:hanging="283"/>
        <w:jc w:val="both"/>
      </w:pPr>
      <w:r>
        <w:rPr>
          <w:rFonts w:ascii="Garamond" w:hAnsi="Garamond"/>
          <w:b/>
          <w:color w:val="2E7D4F"/>
          <w:sz w:val="24"/>
        </w:rPr>
        <w:t xml:space="preserve">4. </w:t>
      </w:r>
      <w:r>
        <w:rPr>
          <w:rFonts w:ascii="Garamond" w:hAnsi="Garamond"/>
          <w:sz w:val="24"/>
        </w:rPr>
        <w:t>Como a passagem relaciona graça, fé, obras e nova vida?</w:t>
      </w:r>
    </w:p>
    <w:p>
      <w:pPr>
        <w:spacing w:after="40"/>
        <w:ind w:left="454" w:hanging="283"/>
        <w:jc w:val="both"/>
      </w:pPr>
      <w:r>
        <w:rPr>
          <w:rFonts w:ascii="Garamond" w:hAnsi="Garamond"/>
          <w:b/>
          <w:color w:val="2E7D4F"/>
          <w:sz w:val="24"/>
        </w:rPr>
        <w:t xml:space="preserve">5. </w:t>
      </w:r>
      <w:r>
        <w:rPr>
          <w:rFonts w:ascii="Garamond" w:hAnsi="Garamond"/>
          <w:sz w:val="24"/>
        </w:rPr>
        <w:t>Que diferença existe entre ser salvo por obras e ser salvo para boas obras?</w:t>
      </w:r>
    </w:p>
    <w:p>
      <w:pPr>
        <w:keepNext/>
        <w:spacing w:before="360" w:after="120"/>
        <w:jc w:val="left"/>
        <w:pBdr>
          <w:bottom w:val="single" w:sz="6" w:space="1" w:color="1B3A5C"/>
        </w:pBdr>
      </w:pPr>
      <w:r>
        <w:rPr>
          <w:rFonts w:ascii="Garamond" w:hAnsi="Garamond"/>
          <w:b/>
          <w:color w:val="1B3A5C"/>
          <w:sz w:val="30"/>
        </w:rPr>
        <w:t>PARA A PRÓXIMA APOSTILA</w:t>
      </w:r>
    </w:p>
    <w:p>
      <w:pPr>
        <w:jc w:val="both"/>
      </w:pPr>
      <w:r>
        <w:rPr>
          <w:rFonts w:ascii="Garamond" w:hAnsi="Garamond"/>
          <w:b w:val="0"/>
          <w:i w:val="0"/>
          <w:sz w:val="24"/>
        </w:rPr>
        <w:t>Na próxima apostila estudaremos a graça de Deus em Cristo como resposta suficiente e imerecida à perdição humana. Para se preparar, leia previamente Efésios 2.4-10; Tito 2.11-14; Romanos 5.15-21 e reflicta sobre as perguntas a seguir:</w:t>
      </w:r>
    </w:p>
    <w:p>
      <w:pPr>
        <w:spacing w:after="40"/>
        <w:ind w:left="454" w:hanging="283"/>
        <w:jc w:val="both"/>
      </w:pPr>
      <w:r>
        <w:rPr>
          <w:rFonts w:ascii="Garamond" w:hAnsi="Garamond"/>
          <w:b/>
          <w:color w:val="2E7D4F"/>
          <w:sz w:val="24"/>
        </w:rPr>
        <w:t xml:space="preserve">•  </w:t>
      </w:r>
      <w:r>
        <w:rPr>
          <w:rFonts w:ascii="Garamond" w:hAnsi="Garamond"/>
          <w:sz w:val="24"/>
        </w:rPr>
        <w:t>Por que a graça só é correctamente entendida quando reconhecemos a incapacidade humana?</w:t>
      </w:r>
    </w:p>
    <w:p>
      <w:pPr>
        <w:spacing w:after="40"/>
        <w:ind w:left="454" w:hanging="283"/>
        <w:jc w:val="both"/>
      </w:pPr>
      <w:r>
        <w:rPr>
          <w:rFonts w:ascii="Garamond" w:hAnsi="Garamond"/>
          <w:b/>
          <w:color w:val="2E7D4F"/>
          <w:sz w:val="24"/>
        </w:rPr>
        <w:t xml:space="preserve">•  </w:t>
      </w:r>
      <w:r>
        <w:rPr>
          <w:rFonts w:ascii="Garamond" w:hAnsi="Garamond"/>
          <w:sz w:val="24"/>
        </w:rPr>
        <w:t>Como distinguir graça bíblica de mera tolerância ou permissividade religiosa?</w:t>
      </w:r>
    </w:p>
    <w:p>
      <w:r>
        <w:br w:type="page"/>
      </w:r>
    </w:p>
    <w:p>
      <w:pPr>
        <w:keepNext/>
        <w:spacing w:before="360" w:after="120"/>
        <w:jc w:val="left"/>
        <w:pBdr>
          <w:bottom w:val="single" w:sz="6" w:space="1" w:color="1B3A5C"/>
        </w:pBdr>
      </w:pPr>
      <w:r>
        <w:rPr>
          <w:rFonts w:ascii="Garamond" w:hAnsi="Garamond"/>
          <w:b/>
          <w:color w:val="1B3A5C"/>
          <w:sz w:val="30"/>
        </w:rPr>
        <w:t>GLOSSÁRIO</w:t>
      </w:r>
    </w:p>
    <w:p>
      <w:pPr>
        <w:jc w:val="both"/>
      </w:pPr>
      <w:r>
        <w:rPr>
          <w:rFonts w:ascii="Garamond" w:hAnsi="Garamond"/>
          <w:b w:val="0"/>
          <w:i w:val="0"/>
          <w:sz w:val="24"/>
        </w:rPr>
        <w:t>Definições breves dos termos-chave utilizados nesta apostila.</w:t>
      </w:r>
    </w:p>
    <w:tbl>
      <w:tblPr>
        <w:tblW w:type="auto" w:w="0"/>
        <w:tblLook w:firstColumn="1" w:firstRow="1" w:lastColumn="0" w:lastRow="0" w:noHBand="0" w:noVBand="1" w:val="04A0"/>
      </w:tblPr>
      <w:tblGrid>
        <w:gridCol w:w="4394"/>
        <w:gridCol w:w="4394"/>
      </w:tblGrid>
      <w:tr>
        <w:tc>
          <w:tcPr>
            <w:tcW w:type="dxa" w:w="4394"/>
            <w:shd w:val="clear" w:color="auto" w:fill="1B3A5C"/>
          </w:tcPr>
          <w:p>
            <w:r/>
            <w:r>
              <w:rPr>
                <w:rFonts w:ascii="Garamond" w:hAnsi="Garamond"/>
                <w:b/>
                <w:color w:val="FFFFFF"/>
                <w:sz w:val="22"/>
              </w:rPr>
              <w:t>Termo</w:t>
            </w:r>
          </w:p>
        </w:tc>
        <w:tc>
          <w:tcPr>
            <w:tcW w:type="dxa" w:w="4394"/>
            <w:shd w:val="clear" w:color="auto" w:fill="1B3A5C"/>
          </w:tcPr>
          <w:p>
            <w:r/>
            <w:r>
              <w:rPr>
                <w:rFonts w:ascii="Garamond" w:hAnsi="Garamond"/>
                <w:b/>
                <w:color w:val="FFFFFF"/>
                <w:sz w:val="22"/>
              </w:rPr>
              <w:t>Definição</w:t>
            </w:r>
          </w:p>
        </w:tc>
      </w:tr>
      <w:tr>
        <w:tc>
          <w:tcPr>
            <w:tcW w:type="dxa" w:w="4394"/>
          </w:tcPr>
          <w:p>
            <w:r>
              <w:rPr>
                <w:rFonts w:ascii="Garamond" w:hAnsi="Garamond"/>
                <w:b/>
                <w:color w:val="1B3A5C"/>
                <w:sz w:val="20"/>
              </w:rPr>
              <w:t>Perdição</w:t>
            </w:r>
          </w:p>
        </w:tc>
        <w:tc>
          <w:tcPr>
            <w:tcW w:type="dxa" w:w="4394"/>
          </w:tcPr>
          <w:p>
            <w:r>
              <w:rPr>
                <w:rFonts w:ascii="Garamond" w:hAnsi="Garamond"/>
                <w:sz w:val="20"/>
              </w:rPr>
              <w:t>Estado presente e destino final de separação de Deus, culpa e morte espiritual em que permanece o ser humano sem a salvação em Cristo.</w:t>
            </w:r>
          </w:p>
        </w:tc>
      </w:tr>
      <w:tr>
        <w:tc>
          <w:tcPr>
            <w:tcW w:type="dxa" w:w="4394"/>
          </w:tcPr>
          <w:p>
            <w:r>
              <w:rPr>
                <w:rFonts w:ascii="Garamond" w:hAnsi="Garamond"/>
                <w:b/>
                <w:color w:val="1B3A5C"/>
                <w:sz w:val="20"/>
              </w:rPr>
              <w:t>Hamartiologia</w:t>
            </w:r>
          </w:p>
        </w:tc>
        <w:tc>
          <w:tcPr>
            <w:tcW w:type="dxa" w:w="4394"/>
          </w:tcPr>
          <w:p>
            <w:r>
              <w:rPr>
                <w:rFonts w:ascii="Garamond" w:hAnsi="Garamond"/>
                <w:sz w:val="20"/>
              </w:rPr>
              <w:t>Área da teologia que estuda o pecado, a sua origem, natureza, efeitos e consequências à luz das Escrituras.</w:t>
            </w:r>
          </w:p>
        </w:tc>
      </w:tr>
      <w:tr>
        <w:tc>
          <w:tcPr>
            <w:tcW w:type="dxa" w:w="4394"/>
          </w:tcPr>
          <w:p>
            <w:r>
              <w:rPr>
                <w:rFonts w:ascii="Garamond" w:hAnsi="Garamond"/>
                <w:b/>
                <w:color w:val="1B3A5C"/>
                <w:sz w:val="20"/>
              </w:rPr>
              <w:t>Culpa judicial</w:t>
            </w:r>
          </w:p>
        </w:tc>
        <w:tc>
          <w:tcPr>
            <w:tcW w:type="dxa" w:w="4394"/>
          </w:tcPr>
          <w:p>
            <w:r>
              <w:rPr>
                <w:rFonts w:ascii="Garamond" w:hAnsi="Garamond"/>
                <w:sz w:val="20"/>
              </w:rPr>
              <w:t>Responsabilidade objectiva do pecador perante a justiça de Deus, exigindo perdão e justificação.</w:t>
            </w:r>
          </w:p>
        </w:tc>
      </w:tr>
      <w:tr>
        <w:tc>
          <w:tcPr>
            <w:tcW w:type="dxa" w:w="4394"/>
          </w:tcPr>
          <w:p>
            <w:r>
              <w:rPr>
                <w:rFonts w:ascii="Garamond" w:hAnsi="Garamond"/>
                <w:b/>
                <w:color w:val="1B3A5C"/>
                <w:sz w:val="20"/>
              </w:rPr>
              <w:t>Corrupção moral</w:t>
            </w:r>
          </w:p>
        </w:tc>
        <w:tc>
          <w:tcPr>
            <w:tcW w:type="dxa" w:w="4394"/>
          </w:tcPr>
          <w:p>
            <w:r>
              <w:rPr>
                <w:rFonts w:ascii="Garamond" w:hAnsi="Garamond"/>
                <w:sz w:val="20"/>
              </w:rPr>
              <w:t>Desordem interior causada pelo pecado, afectando mente, vontade, desejos, consciência e relações.</w:t>
            </w:r>
          </w:p>
        </w:tc>
      </w:tr>
      <w:tr>
        <w:tc>
          <w:tcPr>
            <w:tcW w:type="dxa" w:w="4394"/>
          </w:tcPr>
          <w:p>
            <w:r>
              <w:rPr>
                <w:rFonts w:ascii="Garamond" w:hAnsi="Garamond"/>
                <w:b/>
                <w:color w:val="1B3A5C"/>
                <w:sz w:val="20"/>
              </w:rPr>
              <w:t>Morte espiritual</w:t>
            </w:r>
          </w:p>
        </w:tc>
        <w:tc>
          <w:tcPr>
            <w:tcW w:type="dxa" w:w="4394"/>
          </w:tcPr>
          <w:p>
            <w:r>
              <w:rPr>
                <w:rFonts w:ascii="Garamond" w:hAnsi="Garamond"/>
                <w:sz w:val="20"/>
              </w:rPr>
              <w:t>Separação da vida de Deus, incapacidade de comunhão salvadora e necessidade de vivificação pelo Espírito.</w:t>
            </w:r>
          </w:p>
        </w:tc>
      </w:tr>
      <w:tr>
        <w:tc>
          <w:tcPr>
            <w:tcW w:type="dxa" w:w="4394"/>
          </w:tcPr>
          <w:p>
            <w:r>
              <w:rPr>
                <w:rFonts w:ascii="Garamond" w:hAnsi="Garamond"/>
                <w:b/>
                <w:color w:val="1B3A5C"/>
                <w:sz w:val="20"/>
              </w:rPr>
              <w:t>Depravação</w:t>
            </w:r>
          </w:p>
        </w:tc>
        <w:tc>
          <w:tcPr>
            <w:tcW w:type="dxa" w:w="4394"/>
          </w:tcPr>
          <w:p>
            <w:r>
              <w:rPr>
                <w:rFonts w:ascii="Garamond" w:hAnsi="Garamond"/>
                <w:sz w:val="20"/>
              </w:rPr>
              <w:t>Doutrina segundo a qual a queda afectou todas as dimensões da natureza humana, sem significar que cada pessoa pratica todo o mal possível.</w:t>
            </w:r>
          </w:p>
        </w:tc>
      </w:tr>
      <w:tr>
        <w:tc>
          <w:tcPr>
            <w:tcW w:type="dxa" w:w="4394"/>
          </w:tcPr>
          <w:p>
            <w:r>
              <w:rPr>
                <w:rFonts w:ascii="Garamond" w:hAnsi="Garamond"/>
                <w:b/>
                <w:color w:val="1B3A5C"/>
                <w:sz w:val="20"/>
              </w:rPr>
              <w:t>Regeneração</w:t>
            </w:r>
          </w:p>
        </w:tc>
        <w:tc>
          <w:tcPr>
            <w:tcW w:type="dxa" w:w="4394"/>
          </w:tcPr>
          <w:p>
            <w:r>
              <w:rPr>
                <w:rFonts w:ascii="Garamond" w:hAnsi="Garamond"/>
                <w:sz w:val="20"/>
              </w:rPr>
              <w:t>Acto soberano de Deus pelo qual o Espírito Santo comunica vida nova ao pecador, tornando-o capaz de responder em arrependimento e fé.</w:t>
            </w:r>
          </w:p>
        </w:tc>
      </w:tr>
    </w:tbl>
    <w:p>
      <w:pPr>
        <w:keepNext/>
        <w:spacing w:before="360" w:after="120"/>
        <w:jc w:val="left"/>
        <w:pBdr>
          <w:bottom w:val="single" w:sz="6" w:space="1" w:color="1B3A5C"/>
        </w:pBdr>
      </w:pPr>
      <w:r>
        <w:rPr>
          <w:rFonts w:ascii="Garamond" w:hAnsi="Garamond"/>
          <w:b/>
          <w:color w:val="1B3A5C"/>
          <w:sz w:val="30"/>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Bíblia Sagrada. Tradução de João Ferreira de Almeida, Revista e Corrigida.</w:t>
      </w:r>
    </w:p>
    <w:p>
      <w:pPr>
        <w:spacing w:after="40"/>
        <w:ind w:left="454" w:hanging="283"/>
        <w:jc w:val="both"/>
      </w:pPr>
      <w:r>
        <w:rPr>
          <w:rFonts w:ascii="Garamond" w:hAnsi="Garamond"/>
          <w:b/>
          <w:color w:val="2E7D4F"/>
          <w:sz w:val="24"/>
        </w:rPr>
        <w:t xml:space="preserve">•  </w:t>
      </w:r>
      <w:r>
        <w:rPr>
          <w:rFonts w:ascii="Garamond" w:hAnsi="Garamond"/>
          <w:sz w:val="24"/>
        </w:rPr>
        <w:t>Berkhof, Louis. Teologia Sistemática. São Paulo: Cultura Cristã, 2012.</w:t>
      </w:r>
    </w:p>
    <w:p>
      <w:pPr>
        <w:spacing w:after="40"/>
        <w:ind w:left="454" w:hanging="283"/>
        <w:jc w:val="both"/>
      </w:pPr>
      <w:r>
        <w:rPr>
          <w:rFonts w:ascii="Garamond" w:hAnsi="Garamond"/>
          <w:b/>
          <w:color w:val="2E7D4F"/>
          <w:sz w:val="24"/>
        </w:rPr>
        <w:t xml:space="preserve">•  </w:t>
      </w:r>
      <w:r>
        <w:rPr>
          <w:rFonts w:ascii="Garamond" w:hAnsi="Garamond"/>
          <w:sz w:val="24"/>
        </w:rPr>
        <w:t>Stott, John. A Cruz de Cristo. São Paulo: Vida, 2006.</w:t>
      </w:r>
    </w:p>
    <w:p>
      <w:pPr>
        <w:spacing w:after="40"/>
        <w:ind w:left="454" w:hanging="283"/>
        <w:jc w:val="both"/>
      </w:pPr>
      <w:r>
        <w:rPr>
          <w:rFonts w:ascii="Garamond" w:hAnsi="Garamond"/>
          <w:b/>
          <w:color w:val="2E7D4F"/>
          <w:sz w:val="24"/>
        </w:rPr>
        <w:t xml:space="preserve">•  </w:t>
      </w:r>
      <w:r>
        <w:rPr>
          <w:rFonts w:ascii="Garamond" w:hAnsi="Garamond"/>
          <w:sz w:val="24"/>
        </w:rPr>
        <w:t>Murray, John. Redenção Consumada e Aplicada. São Paulo: Cultura Cristã, 2010.</w:t>
      </w:r>
    </w:p>
    <w:p>
      <w:pPr>
        <w:spacing w:after="40"/>
        <w:ind w:left="454" w:hanging="283"/>
        <w:jc w:val="both"/>
      </w:pPr>
      <w:r>
        <w:rPr>
          <w:rFonts w:ascii="Garamond" w:hAnsi="Garamond"/>
          <w:b/>
          <w:color w:val="2E7D4F"/>
          <w:sz w:val="24"/>
        </w:rPr>
        <w:t xml:space="preserve">•  </w:t>
      </w:r>
      <w:r>
        <w:rPr>
          <w:rFonts w:ascii="Garamond" w:hAnsi="Garamond"/>
          <w:sz w:val="24"/>
        </w:rPr>
        <w:t>Lloyd-Jones, Martyn. Romanos: Exposição do Capítulo 3. São Paulo: PES, 2001.</w:t>
      </w:r>
    </w:p>
    <w:p>
      <w:pPr>
        <w:spacing w:after="40"/>
        <w:ind w:left="454" w:hanging="283"/>
        <w:jc w:val="both"/>
      </w:pPr>
      <w:r>
        <w:rPr>
          <w:rFonts w:ascii="Garamond" w:hAnsi="Garamond"/>
          <w:b/>
          <w:color w:val="2E7D4F"/>
          <w:sz w:val="24"/>
        </w:rPr>
        <w:t xml:space="preserve">•  </w:t>
      </w:r>
      <w:r>
        <w:rPr>
          <w:rFonts w:ascii="Garamond" w:hAnsi="Garamond"/>
          <w:sz w:val="24"/>
        </w:rPr>
        <w:t>Erickson, Millard J. Teologia Sistemática. São Paulo: Vida Nova, 2015.</w:t>
      </w:r>
    </w:p>
    <w:p>
      <w:pPr>
        <w:keepNext/>
        <w:spacing w:before="360" w:after="120"/>
        <w:jc w:val="left"/>
        <w:pBdr>
          <w:bottom w:val="single" w:sz="6" w:space="1" w:color="1B3A5C"/>
        </w:pBdr>
      </w:pPr>
      <w:r>
        <w:rPr>
          <w:rFonts w:ascii="Garamond" w:hAnsi="Garamond"/>
          <w:b/>
          <w:color w:val="1B3A5C"/>
          <w:sz w:val="30"/>
        </w:rPr>
        <w:t>ANOTAÇÕES PESSOAIS</w:t>
      </w: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
      <w:pPr>
        <w:pBdr>
          <w:bottom w:val="single" w:sz="4" w:space="1" w:color="2E7D4F"/>
        </w:pBdr>
      </w:pPr>
    </w:p>
    <w:p/>
    <w:p>
      <w:pPr>
        <w:jc w:val="center"/>
      </w:pPr>
      <w:r>
        <w:rPr>
          <w:rFonts w:ascii="Garamond" w:hAnsi="Garamond"/>
          <w:b/>
          <w:color w:val="1B3A5C"/>
          <w:sz w:val="22"/>
        </w:rPr>
        <w:t>ESCOLA BÍBLICA EPIGNÓSIS</w:t>
      </w:r>
    </w:p>
    <w:p>
      <w:pPr>
        <w:jc w:val="center"/>
      </w:pPr>
      <w:r>
        <w:rPr>
          <w:rFonts w:ascii="Garamond" w:hAnsi="Garamond"/>
          <w:i/>
          <w:color w:val="2E7D4F"/>
          <w:sz w:val="20"/>
        </w:rPr>
        <w:t>Conhecer a Deus. Viver a Palavra. Manifestar o Reino.</w:t>
      </w:r>
    </w:p>
    <w:p>
      <w:pPr>
        <w:jc w:val="center"/>
      </w:pPr>
      <w:r>
        <w:rPr>
          <w:rFonts w:ascii="Garamond" w:hAnsi="Garamond"/>
          <w:i/>
          <w:color w:val="555555"/>
          <w:sz w:val="18"/>
        </w:rPr>
        <w:t>Soli Deo Gloria</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55555"/>
        <w:sz w:val="18"/>
      </w:rPr>
      <w:t xml:space="preserve">EBE-APO-001  ·  </w:t>
    </w:r>
    <w:r>
      <w:rPr>
        <w:rFonts w:ascii="Garamond" w:hAnsi="Garamond"/>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aramond" w:hAnsi="Garamond"/>
        <w:i/>
        <w:color w:val="2E7D4F"/>
        <w:sz w:val="18"/>
      </w:rPr>
      <w:t>Escola Bíblica Epignósis  ·  Apostila — O Estado de Perdição do Ser Humano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36" w:lineRule="auto"/>
      <w:jc w:val="both"/>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