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PRISME</w:t>
      </w:r>
      <w:r>
        <w:t xml:space="preserve"> </w:t>
      </w:r>
      <w:r>
        <w:t xml:space="preserve">—</w:t>
      </w:r>
      <w:r>
        <w:t xml:space="preserve"> </w:t>
      </w:r>
      <w:r>
        <w:t xml:space="preserve">Cahier</w:t>
      </w:r>
      <w:r>
        <w:t xml:space="preserve"> </w:t>
      </w:r>
      <w:r>
        <w:t xml:space="preserve">de</w:t>
      </w:r>
      <w:r>
        <w:t xml:space="preserve"> </w:t>
      </w:r>
      <w:r>
        <w:t xml:space="preserve">révision</w:t>
      </w:r>
      <w:r>
        <w:t xml:space="preserve"> </w:t>
      </w:r>
      <w:r>
        <w:t xml:space="preserve">v3</w:t>
      </w:r>
      <w:r>
        <w:t xml:space="preserve"> </w:t>
      </w:r>
      <w:r>
        <w:t xml:space="preserve">(lots</w:t>
      </w:r>
      <w:r>
        <w:t xml:space="preserve"> </w:t>
      </w:r>
      <w:r>
        <w:t xml:space="preserve">1-5)</w:t>
      </w:r>
    </w:p>
    <w:p>
      <w:pPr>
        <w:pStyle w:val="Subtitle"/>
      </w:pPr>
      <w:r>
        <w:t xml:space="preserve">Épitaphes</w:t>
      </w:r>
      <w:r>
        <w:t xml:space="preserve"> </w:t>
      </w:r>
      <w:r>
        <w:t xml:space="preserve">chrétiennes</w:t>
      </w:r>
      <w:r>
        <w:t xml:space="preserve"> </w:t>
      </w:r>
      <w:r>
        <w:t xml:space="preserve">datées</w:t>
      </w:r>
      <w:r>
        <w:t xml:space="preserve"> </w:t>
      </w:r>
      <w:r>
        <w:t xml:space="preserve">de</w:t>
      </w:r>
      <w:r>
        <w:t xml:space="preserve"> </w:t>
      </w:r>
      <w:r>
        <w:t xml:space="preserve">Rome</w:t>
      </w:r>
      <w:r>
        <w:t xml:space="preserve"> </w:t>
      </w:r>
      <w:r>
        <w:t xml:space="preserve">(340–403)</w:t>
      </w:r>
      <w:r>
        <w:t xml:space="preserve"> </w:t>
      </w:r>
      <w:r>
        <w:t xml:space="preserve">—</w:t>
      </w:r>
      <w:r>
        <w:t xml:space="preserve"> </w:t>
      </w:r>
      <w:r>
        <w:t xml:space="preserve">consolidation</w:t>
      </w:r>
      <w:r>
        <w:t xml:space="preserve"> </w:t>
      </w:r>
      <w:r>
        <w:t xml:space="preserve">documentaire</w:t>
      </w:r>
    </w:p>
    <w:p>
      <w:pPr>
        <w:pStyle w:val="Author"/>
      </w:pPr>
      <w:r>
        <w:t xml:space="preserve">Alexis</w:t>
      </w:r>
      <w:r>
        <w:t xml:space="preserve"> </w:t>
      </w:r>
      <w:r>
        <w:t xml:space="preserve">Angel</w:t>
      </w:r>
      <w:r>
        <w:t xml:space="preserve"> </w:t>
      </w:r>
      <w:r>
        <w:t xml:space="preserve">Martini</w:t>
      </w:r>
      <w:r>
        <w:t xml:space="preserve"> </w:t>
      </w:r>
      <w:r>
        <w:t xml:space="preserve">(auteur)</w:t>
      </w:r>
      <w:r>
        <w:t xml:space="preserve"> </w:t>
      </w:r>
      <w:r>
        <w:t xml:space="preserve">;</w:t>
      </w:r>
      <w:r>
        <w:t xml:space="preserve"> </w:t>
      </w:r>
      <w:r>
        <w:t xml:space="preserve">consolidation</w:t>
      </w:r>
      <w:r>
        <w:t xml:space="preserve"> </w:t>
      </w:r>
      <w:r>
        <w:t xml:space="preserve">assistée</w:t>
      </w:r>
    </w:p>
    <w:p>
      <w:pPr>
        <w:pStyle w:val="Date"/>
      </w:pPr>
      <w:r>
        <w:t xml:space="preserve">14</w:t>
      </w:r>
      <w:r>
        <w:t xml:space="preserve"> </w:t>
      </w:r>
      <w:r>
        <w:t xml:space="preserve">octobre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X56ccc7ae25121cdab835d80fb0696381594a5eb"/>
    <w:p>
      <w:pPr>
        <w:pStyle w:val="Heading1"/>
      </w:pPr>
      <w:r>
        <w:t xml:space="preserve">PRISME —</w:t>
      </w:r>
      <w:r>
        <w:t xml:space="preserve"> </w:t>
      </w:r>
      <w:r>
        <w:rPr>
          <w:iCs/>
          <w:i/>
        </w:rPr>
        <w:t xml:space="preserve">Épitaphes chrétiennes datées de Rome (340–403)</w:t>
      </w:r>
    </w:p>
    <w:p>
      <w:pPr>
        <w:pStyle w:val="FirstParagraph"/>
      </w:pPr>
      <w:r>
        <w:t xml:space="preserve">Dossier de consolidation scientifique du manuscrit d’Alexis Angel Martini.</w:t>
      </w:r>
      <w:r>
        <w:t xml:space="preserve"> </w:t>
      </w:r>
      <w:r>
        <w:t xml:space="preserve">Lot de travail du 14 octobre 2026.</w:t>
      </w:r>
    </w:p>
    <w:bookmarkStart w:id="20" w:name="point-de-départ-réel-à-lire-dabord"/>
    <w:p>
      <w:pPr>
        <w:pStyle w:val="Heading2"/>
      </w:pPr>
      <w:r>
        <w:t xml:space="preserve">1. Point de départ réel (à lire d’abord)</w:t>
      </w:r>
    </w:p>
    <w:p>
      <w:pPr>
        <w:pStyle w:val="FirstParagraph"/>
      </w:pPr>
      <w:r>
        <w:t xml:space="preserve">La mission visait « PRISME v3.1, 696 pages, 478 notices ».</w:t>
      </w:r>
      <w:r>
        <w:t xml:space="preserve"> </w:t>
      </w:r>
      <w:r>
        <w:rPr>
          <w:bCs/>
          <w:b/>
        </w:rPr>
        <w:t xml:space="preserve">Cette version n’a été trouvée ni dans ce dépôt (vide à l’ouverture), ni dans le Google Drive de l’auteur.</w:t>
      </w:r>
      <w:r>
        <w:t xml:space="preserve"> </w:t>
      </w:r>
      <w:r>
        <w:t xml:space="preserve">Les seuls fichiers PRISME accessibles sont les suivants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Fichier (Drive)</w:t>
            </w:r>
          </w:p>
        </w:tc>
        <w:tc>
          <w:tcPr/>
          <w:p>
            <w:pPr>
              <w:pStyle w:val="Compact"/>
              <w:jc w:val="left"/>
            </w:pPr>
            <w:r>
              <w:t xml:space="preserve">Contenu</w:t>
            </w:r>
          </w:p>
        </w:tc>
        <w:tc>
          <w:tcPr/>
          <w:p>
            <w:pPr>
              <w:pStyle w:val="Compact"/>
              <w:jc w:val="left"/>
            </w:pPr>
            <w:r>
              <w:t xml:space="preserve">Empreinte SHA-256 (copie dans</w:t>
            </w:r>
            <w:r>
              <w:t xml:space="preserve"> </w:t>
            </w:r>
            <w:r>
              <w:rPr>
                <w:rStyle w:val="VerbatimChar"/>
              </w:rPr>
              <w:t xml:space="preserve">00_originaux/</w:t>
            </w:r>
            <w:r>
              <w:t xml:space="preserve">)</w:t>
            </w:r>
          </w:p>
        </w:tc>
      </w:tr>
      <w:tr>
        <w:tc>
          <w:tcPr/>
          <w:p>
            <w:pPr>
              <w:pStyle w:val="Compact"/>
              <w:jc w:val="left"/>
            </w:pPr>
            <w:r>
              <w:rPr>
                <w:rStyle w:val="VerbatimChar"/>
              </w:rPr>
              <w:t xml:space="preserve">PRISME_MONOGRAPHIE_REVISEE.pdf</w:t>
            </w:r>
          </w:p>
        </w:tc>
        <w:tc>
          <w:tcPr/>
          <w:p>
            <w:pPr>
              <w:pStyle w:val="Compact"/>
              <w:jc w:val="left"/>
            </w:pPr>
            <w:r>
              <w:t xml:space="preserve">« Version 2.0 révisée », 13 oct. 2026,</w:t>
            </w:r>
            <w:r>
              <w:t xml:space="preserve"> </w:t>
            </w:r>
            <w:r>
              <w:rPr>
                <w:bCs/>
                <w:b/>
              </w:rPr>
              <w:t xml:space="preserve">726 pages</w:t>
            </w:r>
            <w:r>
              <w:t xml:space="preserve">, 478 notices</w:t>
            </w:r>
          </w:p>
        </w:tc>
        <w:tc>
          <w:tcPr/>
          <w:p>
            <w:pPr>
              <w:pStyle w:val="Compact"/>
              <w:jc w:val="left"/>
            </w:pPr>
            <w:r>
              <w:rPr>
                <w:rStyle w:val="VerbatimChar"/>
              </w:rPr>
              <w:t xml:space="preserve">9d1f9513…8ace7</w:t>
            </w:r>
          </w:p>
        </w:tc>
      </w:tr>
      <w:tr>
        <w:tc>
          <w:tcPr/>
          <w:p>
            <w:pPr>
              <w:pStyle w:val="Compact"/>
              <w:jc w:val="left"/>
            </w:pPr>
            <w:r>
              <w:rPr>
                <w:rStyle w:val="VerbatimChar"/>
              </w:rPr>
              <w:t xml:space="preserve">PRISME_BASE_SCIENTIFIQUE_V2</w:t>
            </w:r>
            <w:r>
              <w:t xml:space="preserve"> </w:t>
            </w:r>
            <w:r>
              <w:t xml:space="preserve">(tableur)</w:t>
            </w:r>
          </w:p>
        </w:tc>
        <w:tc>
          <w:tcPr/>
          <w:p>
            <w:pPr>
              <w:pStyle w:val="Compact"/>
              <w:jc w:val="left"/>
            </w:pPr>
            <w:r>
              <w:t xml:space="preserve">base v2.0 : 14 feuilles, registre de 62 anomalies (A001–A062)</w:t>
            </w:r>
          </w:p>
        </w:tc>
        <w:tc>
          <w:tcPr/>
          <w:p>
            <w:pPr>
              <w:pStyle w:val="Compact"/>
              <w:jc w:val="left"/>
            </w:pPr>
            <w:r>
              <w:rPr>
                <w:rStyle w:val="VerbatimChar"/>
              </w:rPr>
              <w:t xml:space="preserve">3914ed18…9775</w:t>
            </w:r>
            <w:r>
              <w:t xml:space="preserve"> </w:t>
            </w:r>
            <w:r>
              <w:t xml:space="preserve">(export .xlsx)</w:t>
            </w:r>
          </w:p>
        </w:tc>
      </w:tr>
      <w:tr>
        <w:tc>
          <w:tcPr/>
          <w:p>
            <w:pPr>
              <w:pStyle w:val="Compact"/>
              <w:jc w:val="left"/>
            </w:pPr>
            <w:r>
              <w:t xml:space="preserve">« État critique de la recherche… » (Google Doc)</w:t>
            </w:r>
          </w:p>
        </w:tc>
        <w:tc>
          <w:tcPr/>
          <w:p>
            <w:pPr>
              <w:pStyle w:val="Compact"/>
              <w:jc w:val="left"/>
            </w:pPr>
            <w:r>
              <w:t xml:space="preserve">essai de 7 sections</w:t>
            </w:r>
          </w:p>
        </w:tc>
        <w:tc>
          <w:tcPr/>
          <w:p>
            <w:pPr>
              <w:pStyle w:val="Compact"/>
              <w:jc w:val="left"/>
            </w:pPr>
            <w:r>
              <w:t xml:space="preserve">non copié (voir</w:t>
            </w:r>
            <w:r>
              <w:t xml:space="preserve"> </w:t>
            </w:r>
            <w:r>
              <w:rPr>
                <w:rStyle w:val="VerbatimChar"/>
              </w:rPr>
              <w:t xml:space="preserve">03_dossiers_anomalies/AUDIT_ETAT_CRITIQUE.md</w:t>
            </w:r>
            <w:r>
              <w:t xml:space="preserve">)</w:t>
            </w:r>
          </w:p>
        </w:tc>
      </w:tr>
    </w:tbl>
    <w:p>
      <w:pPr>
        <w:pStyle w:val="BodyText"/>
      </w:pPr>
      <w:r>
        <w:t xml:space="preserve">Les anomalies citées dans la mission (106/120, 282/288, 329/336, 313/314, 393/394, 439, 38, 474) sont exactement celles du registre de la v2.0 (A006–A010, A014, A039…). Le travail a donc porté sur la</w:t>
      </w:r>
      <w:r>
        <w:t xml:space="preserve"> </w:t>
      </w:r>
      <w:r>
        <w:rPr>
          <w:bCs/>
          <w:b/>
        </w:rPr>
        <w:t xml:space="preserve">v2.0</w:t>
      </w:r>
      <w:r>
        <w:t xml:space="preserve">, et les corrections sont formulées pour être reportées dans la v3.1 si celle-ci en dérive.</w:t>
      </w:r>
      <w:r>
        <w:t xml:space="preserve"> </w:t>
      </w:r>
      <w:r>
        <w:rPr>
          <w:bCs/>
          <w:b/>
        </w:rPr>
        <w:t xml:space="preserve">Pour l’appliquer à la v3.1, déposez-la (PDF et, si possible, sources LaTeX) dans ce dépôt ou dans le Drive.</w:t>
      </w:r>
    </w:p>
    <w:bookmarkEnd w:id="20"/>
    <w:bookmarkStart w:id="21" w:name="ce-qui-a-été-fait-réellement-dans-ce-lot"/>
    <w:p>
      <w:pPr>
        <w:pStyle w:val="Heading2"/>
      </w:pPr>
      <w:r>
        <w:t xml:space="preserve">2. Ce qui a été fait réellement dans ce lot</w:t>
      </w:r>
    </w:p>
    <w:p>
      <w:pPr>
        <w:numPr>
          <w:ilvl w:val="0"/>
          <w:numId w:val="1001"/>
        </w:numPr>
        <w:pStyle w:val="Compact"/>
      </w:pPr>
      <w:r>
        <w:rPr>
          <w:bCs/>
          <w:b/>
        </w:rPr>
        <w:t xml:space="preserve">Conservation des originaux.</w:t>
      </w:r>
      <w:r>
        <w:t xml:space="preserve"> </w:t>
      </w:r>
      <w:r>
        <w:t xml:space="preserve">Les fichiers sont copiés dans</w:t>
      </w:r>
      <w:r>
        <w:t xml:space="preserve"> </w:t>
      </w:r>
      <w:r>
        <w:rPr>
          <w:rStyle w:val="VerbatimChar"/>
        </w:rPr>
        <w:t xml:space="preserve">00_originaux/</w:t>
      </w:r>
      <w:r>
        <w:t xml:space="preserve"> </w:t>
      </w:r>
      <w:r>
        <w:t xml:space="preserve">avec leurs empreintes (</w:t>
      </w:r>
      <w:r>
        <w:rPr>
          <w:rStyle w:val="VerbatimChar"/>
        </w:rPr>
        <w:t xml:space="preserve">SHA256SUMS</w:t>
      </w:r>
      <w:r>
        <w:t xml:space="preserve">). Aucun original n’a été modifié.</w:t>
      </w:r>
    </w:p>
    <w:p>
      <w:pPr>
        <w:numPr>
          <w:ilvl w:val="0"/>
          <w:numId w:val="1001"/>
        </w:numPr>
        <w:pStyle w:val="Compact"/>
      </w:pPr>
      <w:r>
        <w:rPr>
          <w:bCs/>
          <w:b/>
        </w:rPr>
        <w:t xml:space="preserve">Extraction de la base v2.0</w:t>
      </w:r>
      <w:r>
        <w:t xml:space="preserve"> </w:t>
      </w:r>
      <w:r>
        <w:t xml:space="preserve">en CSV (</w:t>
      </w:r>
      <w:r>
        <w:rPr>
          <w:rStyle w:val="VerbatimChar"/>
        </w:rPr>
        <w:t xml:space="preserve">01_donnees/base_v2_csv/</w:t>
      </w:r>
      <w:r>
        <w:t xml:space="preserve">) et du texte du PDF (</w:t>
      </w:r>
      <w:r>
        <w:rPr>
          <w:rStyle w:val="VerbatimChar"/>
        </w:rPr>
        <w:t xml:space="preserve">01_donnees/monographie_v2.0_texte_extrait.txt</w:t>
      </w:r>
      <w:r>
        <w:t xml:space="preserve">).</w:t>
      </w:r>
    </w:p>
    <w:p>
      <w:pPr>
        <w:numPr>
          <w:ilvl w:val="0"/>
          <w:numId w:val="1001"/>
        </w:numPr>
        <w:pStyle w:val="Compact"/>
      </w:pPr>
      <w:r>
        <w:rPr>
          <w:bCs/>
          <w:b/>
        </w:rPr>
        <w:t xml:space="preserve">Collation base contre base : EDCS (texte de la v2.0) / EDB (Epigraphic Database Bari).</w:t>
      </w:r>
      <w:r>
        <w:t xml:space="preserve"> </w:t>
      </w:r>
      <w:r>
        <w:t xml:space="preserve">C’est la première confrontation systématique du corpus à une seconde base savante, indépendante de l’EDCS. L’EDB est rédigée à Bari à partir des ICVR et révisée par ses épigraphistes.</w:t>
      </w:r>
    </w:p>
    <w:p>
      <w:pPr>
        <w:numPr>
          <w:ilvl w:val="1"/>
          <w:numId w:val="1002"/>
        </w:numPr>
        <w:pStyle w:val="Compact"/>
      </w:pPr>
      <w:r>
        <w:t xml:space="preserve">Méthode : lecture des listes de résultats de l’EDB triées par numéro ICVR (20 fiches par page), puis appariement par numéro ICUR et par similarité de texte. Les scripts sont dans</w:t>
      </w:r>
      <w:r>
        <w:t xml:space="preserve"> </w:t>
      </w:r>
      <w:r>
        <w:rPr>
          <w:rStyle w:val="VerbatimChar"/>
        </w:rPr>
        <w:t xml:space="preserve">05_scripts/</w:t>
      </w:r>
      <w:r>
        <w:t xml:space="preserve">.</w:t>
      </w:r>
    </w:p>
    <w:p>
      <w:pPr>
        <w:numPr>
          <w:ilvl w:val="1"/>
          <w:numId w:val="1002"/>
        </w:numPr>
        <w:pStyle w:val="Compact"/>
      </w:pPr>
      <w:r>
        <w:t xml:space="preserve">État : voir</w:t>
      </w:r>
      <w:r>
        <w:t xml:space="preserve"> </w:t>
      </w:r>
      <w:r>
        <w:rPr>
          <w:rStyle w:val="VerbatimChar"/>
        </w:rPr>
        <w:t xml:space="preserve">02_verifications/ETAT_COLLATION.md</w:t>
      </w:r>
      <w:r>
        <w:t xml:space="preserve">. La collation est</w:t>
      </w:r>
      <w:r>
        <w:t xml:space="preserve"> </w:t>
      </w:r>
      <w:r>
        <w:rPr>
          <w:bCs/>
          <w:b/>
        </w:rPr>
        <w:t xml:space="preserve">partielle</w:t>
      </w:r>
      <w:r>
        <w:t xml:space="preserve"> </w:t>
      </w:r>
      <w:r>
        <w:t xml:space="preserve">; le détail est donné ci-dessous.</w:t>
      </w:r>
    </w:p>
    <w:p>
      <w:pPr>
        <w:numPr>
          <w:ilvl w:val="0"/>
          <w:numId w:val="1001"/>
        </w:numPr>
        <w:pStyle w:val="Compact"/>
      </w:pPr>
      <w:r>
        <w:rPr>
          <w:bCs/>
          <w:b/>
        </w:rPr>
        <w:t xml:space="preserve">Dossiers d’anomalies</w:t>
      </w:r>
      <w:r>
        <w:t xml:space="preserve"> </w:t>
      </w:r>
      <w:r>
        <w:t xml:space="preserve">argumentés, avec preuves et degré de certitude :</w:t>
      </w:r>
      <w:r>
        <w:t xml:space="preserve"> </w:t>
      </w:r>
      <w:r>
        <w:rPr>
          <w:rStyle w:val="VerbatimChar"/>
        </w:rPr>
        <w:t xml:space="preserve">03_dossiers_anomalies/DOSSIERS_ANOMALIES.md</w:t>
      </w:r>
      <w:r>
        <w:t xml:space="preserve">.</w:t>
      </w:r>
    </w:p>
    <w:p>
      <w:pPr>
        <w:numPr>
          <w:ilvl w:val="0"/>
          <w:numId w:val="1001"/>
        </w:numPr>
        <w:pStyle w:val="Compact"/>
      </w:pPr>
      <w:r>
        <w:rPr>
          <w:bCs/>
          <w:b/>
        </w:rPr>
        <w:t xml:space="preserve">Registre des consultations</w:t>
      </w:r>
      <w:r>
        <w:t xml:space="preserve"> </w:t>
      </w:r>
      <w:r>
        <w:t xml:space="preserve">(URL, date, outil, résultat, échecs compris) :</w:t>
      </w:r>
      <w:r>
        <w:t xml:space="preserve"> </w:t>
      </w:r>
      <w:r>
        <w:rPr>
          <w:rStyle w:val="VerbatimChar"/>
        </w:rPr>
        <w:t xml:space="preserve">02_verifications/REGISTRE_CONSULTATIONS.csv</w:t>
      </w:r>
      <w:r>
        <w:t xml:space="preserve">.</w:t>
      </w:r>
    </w:p>
    <w:p>
      <w:pPr>
        <w:numPr>
          <w:ilvl w:val="0"/>
          <w:numId w:val="1001"/>
        </w:numPr>
        <w:pStyle w:val="Compact"/>
      </w:pPr>
      <w:r>
        <w:rPr>
          <w:bCs/>
          <w:b/>
        </w:rPr>
        <w:t xml:space="preserve">Journal des modifications</w:t>
      </w:r>
      <w:r>
        <w:t xml:space="preserve"> </w:t>
      </w:r>
      <w:r>
        <w:t xml:space="preserve">:</w:t>
      </w:r>
      <w:r>
        <w:t xml:space="preserve"> </w:t>
      </w:r>
      <w:r>
        <w:rPr>
          <w:rStyle w:val="VerbatimChar"/>
        </w:rPr>
        <w:t xml:space="preserve">JOURNAL_MODIFICATIONS.md</w:t>
      </w:r>
      <w:r>
        <w:t xml:space="preserve">.</w:t>
      </w:r>
    </w:p>
    <w:p>
      <w:pPr>
        <w:numPr>
          <w:ilvl w:val="0"/>
          <w:numId w:val="1001"/>
        </w:numPr>
        <w:pStyle w:val="Compact"/>
      </w:pPr>
      <w:r>
        <w:rPr>
          <w:bCs/>
          <w:b/>
        </w:rPr>
        <w:t xml:space="preserve">Fiches EDB détaillées des 38 divergences fortes</w:t>
      </w:r>
      <w:r>
        <w:t xml:space="preserve"> </w:t>
      </w:r>
      <w:r>
        <w:t xml:space="preserve">(lot 5, dossiers § H).</w:t>
      </w:r>
    </w:p>
    <w:p>
      <w:pPr>
        <w:numPr>
          <w:ilvl w:val="0"/>
          <w:numId w:val="1001"/>
        </w:numPr>
        <w:pStyle w:val="Compact"/>
      </w:pPr>
      <w:r>
        <w:rPr>
          <w:bCs/>
          <w:b/>
        </w:rPr>
        <w:t xml:space="preserve">Contrôle « consul lu / consul restitué »</w:t>
      </w:r>
      <w:r>
        <w:t xml:space="preserve"> </w:t>
      </w:r>
      <w:r>
        <w:t xml:space="preserve">(lot 5) : fondement de l’année de chaque notice à datation directe, et relevé des faux consuls de la v2.0 (</w:t>
      </w:r>
      <w:r>
        <w:rPr>
          <w:rStyle w:val="VerbatimChar"/>
        </w:rPr>
        <w:t xml:space="preserve">02_verifications/consuls_lus_restitues.csv</w:t>
      </w:r>
      <w:r>
        <w:t xml:space="preserve">, dossiers § G).</w:t>
      </w:r>
    </w:p>
    <w:p>
      <w:pPr>
        <w:numPr>
          <w:ilvl w:val="0"/>
          <w:numId w:val="1001"/>
        </w:numPr>
        <w:pStyle w:val="Compact"/>
      </w:pPr>
      <w:r>
        <w:rPr>
          <w:bCs/>
          <w:b/>
        </w:rPr>
        <w:t xml:space="preserve">Dossier de soumission</w:t>
      </w:r>
      <w:r>
        <w:t xml:space="preserve"> </w:t>
      </w:r>
      <w:r>
        <w:t xml:space="preserve">(grille d’évaluation sur 20, état des consignes d’éditeurs, projet de proposition) :</w:t>
      </w:r>
      <w:r>
        <w:t xml:space="preserve"> </w:t>
      </w:r>
      <w:r>
        <w:rPr>
          <w:rStyle w:val="VerbatimChar"/>
        </w:rPr>
        <w:t xml:space="preserve">04_soumission/</w:t>
      </w:r>
      <w:r>
        <w:t xml:space="preserve">.</w:t>
      </w:r>
    </w:p>
    <w:bookmarkEnd w:id="21"/>
    <w:bookmarkStart w:id="22" w:name="ce-qui-na-pas-été-fait-et-pourquoi"/>
    <w:p>
      <w:pPr>
        <w:pStyle w:val="Heading2"/>
      </w:pPr>
      <w:r>
        <w:t xml:space="preserve">3. Ce qui n’a PAS été fait (et pourquoi)</w:t>
      </w:r>
    </w:p>
    <w:p>
      <w:pPr>
        <w:numPr>
          <w:ilvl w:val="0"/>
          <w:numId w:val="1003"/>
        </w:numPr>
        <w:pStyle w:val="Compact"/>
      </w:pPr>
      <w:r>
        <w:rPr>
          <w:bCs/>
          <w:b/>
        </w:rPr>
        <w:t xml:space="preserve">Aucune collation sur les ICVR imprimées, sur les photographies ou sur les pierres.</w:t>
      </w:r>
      <w:r>
        <w:t xml:space="preserve"> </w:t>
      </w:r>
      <w:r>
        <w:t xml:space="preserve">Les volumes ICUR n.s. ne sont pas en accès libre. Depuis ce conteneur, les sites EDCS, EDR, Internet Archive, Gallica, Persée, HathiTrust, JSTOR, Zenon, Crossref, WorldCat et KVK étaient</w:t>
      </w:r>
      <w:r>
        <w:t xml:space="preserve"> </w:t>
      </w:r>
      <w:r>
        <w:rPr>
          <w:bCs/>
          <w:b/>
        </w:rPr>
        <w:t xml:space="preserve">inaccessibles</w:t>
      </w:r>
      <w:r>
        <w:t xml:space="preserve"> </w:t>
      </w:r>
      <w:r>
        <w:t xml:space="preserve">(refus du proxy réseau ; voir le registre). Seule l’EDB a pu être lue, par un relais de lecture externe à débit limité. Au lot 5, l’EDCS s’est révélée lisible par le même relais à sa nouvelle adresse (</w:t>
      </w:r>
      <w:r>
        <w:rPr>
          <w:rStyle w:val="VerbatimChar"/>
        </w:rPr>
        <w:t xml:space="preserve">edcs.hist.uzh.ch</w:t>
      </w:r>
      <w:r>
        <w:t xml:space="preserve">).</w:t>
      </w:r>
    </w:p>
    <w:p>
      <w:pPr>
        <w:numPr>
          <w:ilvl w:val="0"/>
          <w:numId w:val="1003"/>
        </w:numPr>
        <w:pStyle w:val="Compact"/>
      </w:pPr>
      <w:r>
        <w:rPr>
          <w:bCs/>
          <w:b/>
        </w:rPr>
        <w:t xml:space="preserve">Les fiches EDB détaillées</w:t>
      </w:r>
      <w:r>
        <w:t xml:space="preserve"> </w:t>
      </w:r>
      <w:r>
        <w:t xml:space="preserve">(dimensions, support, photographies, bibliographie complète) n’ont été ouvertes que pour quelques notices de test. Les listes ne donnent que : ID, n° ICVR, bibliographie complémentaire, cimetière, lieu de conservation, date, texte (parfois tronqué, mention « More »).</w:t>
      </w:r>
    </w:p>
    <w:p>
      <w:pPr>
        <w:numPr>
          <w:ilvl w:val="0"/>
          <w:numId w:val="1003"/>
        </w:numPr>
        <w:pStyle w:val="Compact"/>
      </w:pPr>
      <w:r>
        <w:rPr>
          <w:bCs/>
          <w:b/>
        </w:rPr>
        <w:t xml:space="preserve">Le jeu de données EDB complet</w:t>
      </w:r>
      <w:r>
        <w:t xml:space="preserve"> </w:t>
      </w:r>
      <w:r>
        <w:t xml:space="preserve">(EpiDoc, CC BY 4.0, DOI 10.5281/zenodo.3575485, 73,8 Mo) a été identifié mais n’a pas pu être téléchargé : Zenodo est bloqué. Le télécharger hors de cet environnement permettrait de terminer la collation en une seule passe.</w:t>
      </w:r>
    </w:p>
    <w:p>
      <w:pPr>
        <w:numPr>
          <w:ilvl w:val="0"/>
          <w:numId w:val="1003"/>
        </w:numPr>
        <w:pStyle w:val="Compact"/>
      </w:pPr>
      <w:r>
        <w:rPr>
          <w:bCs/>
          <w:b/>
        </w:rPr>
        <w:t xml:space="preserve">La réécriture intégrale des chapitres et la régénération du PDF de 726 pages</w:t>
      </w:r>
      <w:r>
        <w:t xml:space="preserve"> </w:t>
      </w:r>
      <w:r>
        <w:t xml:space="preserve">supposent les sources LaTeX et les scripts de la v2.0 (« déposés avec le manuscrit » selon la page de titre), qui ne sont pas dans le Drive.</w:t>
      </w:r>
    </w:p>
    <w:bookmarkEnd w:id="22"/>
    <w:bookmarkStart w:id="23" w:name="licences"/>
    <w:p>
      <w:pPr>
        <w:pStyle w:val="Heading2"/>
      </w:pPr>
      <w:r>
        <w:t xml:space="preserve">4. Licences</w:t>
      </w:r>
    </w:p>
    <w:p>
      <w:pPr>
        <w:pStyle w:val="FirstParagraph"/>
      </w:pPr>
      <w:r>
        <w:t xml:space="preserve">Les extraits de l’EDB (</w:t>
      </w:r>
      <w:r>
        <w:rPr>
          <w:rStyle w:val="VerbatimChar"/>
        </w:rPr>
        <w:t xml:space="preserve">02_verifications/edb/</w:t>
      </w:r>
      <w:r>
        <w:t xml:space="preserve">) sont publiés par l’EDB sous licence</w:t>
      </w:r>
      <w:r>
        <w:t xml:space="preserve"> </w:t>
      </w:r>
      <w:r>
        <w:rPr>
          <w:bCs/>
          <w:b/>
        </w:rPr>
        <w:t xml:space="preserve">CC BY-SA 4.0</w:t>
      </w:r>
      <w:r>
        <w:t xml:space="preserve"> </w:t>
      </w:r>
      <w:r>
        <w:t xml:space="preserve">(« The data related to the epigraphs are released under the CC-by-SA 4.0 license », pied de page de chaque fiche). Leur réutilisation exige l’attribution à l’Epigraphic Database Bari (Università di Bari) et le partage dans les mêmes conditions.</w:t>
      </w:r>
    </w:p>
    <w:bookmarkEnd w:id="23"/>
    <w:bookmarkEnd w:id="24"/>
    <w:bookmarkStart w:id="54" w:name="X6972ff8ed57a36aaf47acfe3ef11c801309ed4a"/>
    <w:p>
      <w:pPr>
        <w:pStyle w:val="Heading1"/>
      </w:pPr>
      <w:r>
        <w:t xml:space="preserve">Dossiers d’anomalies — PRISME v2.0 → v3 (lot du 14 octobre 2026)</w:t>
      </w:r>
    </w:p>
    <w:bookmarkStart w:id="25" w:name="conventions"/>
    <w:p>
      <w:pPr>
        <w:pStyle w:val="Heading2"/>
      </w:pPr>
      <w:r>
        <w:t xml:space="preserve">Conventions</w:t>
      </w:r>
    </w:p>
    <w:p>
      <w:pPr>
        <w:numPr>
          <w:ilvl w:val="0"/>
          <w:numId w:val="1004"/>
        </w:numPr>
        <w:pStyle w:val="Compact"/>
      </w:pPr>
      <w:r>
        <w:rPr>
          <w:bCs/>
          <w:b/>
        </w:rPr>
        <w:t xml:space="preserve">EDCS</w:t>
      </w:r>
      <w:r>
        <w:t xml:space="preserve"> </w:t>
      </w:r>
      <w:r>
        <w:t xml:space="preserve">: texte de la base v2.0. Ce sont des « lectures secondaires non collationnées », issues des exports SDAM de l’EDCS.</w:t>
      </w:r>
    </w:p>
    <w:p>
      <w:pPr>
        <w:numPr>
          <w:ilvl w:val="0"/>
          <w:numId w:val="1004"/>
        </w:numPr>
        <w:pStyle w:val="Compact"/>
      </w:pPr>
      <w:r>
        <w:rPr>
          <w:bCs/>
          <w:b/>
        </w:rPr>
        <w:t xml:space="preserve">EDB</w:t>
      </w:r>
      <w:r>
        <w:t xml:space="preserve"> </w:t>
      </w:r>
      <w:r>
        <w:t xml:space="preserve">: Epigraphic Database Bari, lue le 14 oct. 2026 sur ses listes de résultats (</w:t>
      </w:r>
      <w:r>
        <w:rPr>
          <w:rStyle w:val="VerbatimChar"/>
        </w:rPr>
        <w:t xml:space="preserve">https://www.edb.uniba.it/search/quick/do?page=N</w:t>
      </w:r>
      <w:r>
        <w:t xml:space="preserve">) ou sur ses fiches (</w:t>
      </w:r>
      <w:r>
        <w:rPr>
          <w:rStyle w:val="VerbatimChar"/>
        </w:rPr>
        <w:t xml:space="preserve">https://www.edb.uniba.it/epigraph/ID</w:t>
      </w:r>
      <w:r>
        <w:t xml:space="preserve">). Données sous licence CC BY-SA 4.0.</w:t>
      </w:r>
    </w:p>
    <w:p>
      <w:pPr>
        <w:numPr>
          <w:ilvl w:val="0"/>
          <w:numId w:val="1004"/>
        </w:numPr>
        <w:pStyle w:val="Compact"/>
      </w:pPr>
      <w:r>
        <w:rPr>
          <w:bCs/>
          <w:b/>
        </w:rPr>
        <w:t xml:space="preserve">Niveaux de preuve.</w:t>
      </w:r>
      <w:r>
        <w:t xml:space="preserve"> </w:t>
      </w:r>
      <w:r>
        <w:t xml:space="preserve">C’est une collation</w:t>
      </w:r>
      <w:r>
        <w:t xml:space="preserve"> </w:t>
      </w:r>
      <w:r>
        <w:rPr>
          <w:bCs/>
          <w:b/>
        </w:rPr>
        <w:t xml:space="preserve">base contre base</w:t>
      </w:r>
      <w:r>
        <w:t xml:space="preserve"> </w:t>
      </w:r>
      <w:r>
        <w:t xml:space="preserve">(niveau B–C de la hiérarchie du laboratoire),</w:t>
      </w:r>
      <w:r>
        <w:t xml:space="preserve"> </w:t>
      </w:r>
      <w:r>
        <w:rPr>
          <w:bCs/>
          <w:b/>
        </w:rPr>
        <w:t xml:space="preserve">pas</w:t>
      </w:r>
      <w:r>
        <w:t xml:space="preserve"> </w:t>
      </w:r>
      <w:r>
        <w:t xml:space="preserve">une collation sur la pierre, sur une photographie ou sur l’ICVR imprimée. Une concordance EDCS/EDB prouve que deux bases savantes transmettent le même texte. Elle ne prouve pas que ce texte est exact.</w:t>
      </w:r>
    </w:p>
    <w:p>
      <w:pPr>
        <w:numPr>
          <w:ilvl w:val="0"/>
          <w:numId w:val="1004"/>
        </w:numPr>
        <w:pStyle w:val="Compact"/>
      </w:pPr>
      <w:r>
        <w:rPr>
          <w:bCs/>
          <w:b/>
        </w:rPr>
        <w:t xml:space="preserve">Degrés de certitude.</w:t>
      </w:r>
      <w:r>
        <w:t xml:space="preserve"> </w:t>
      </w:r>
      <w:r>
        <w:rPr>
          <w:iCs/>
          <w:i/>
        </w:rPr>
        <w:t xml:space="preserve">certain</w:t>
      </w:r>
      <w:r>
        <w:t xml:space="preserve"> </w:t>
      </w:r>
      <w:r>
        <w:t xml:space="preserve">: preuve documentaire explicite (concordance publiée).</w:t>
      </w:r>
      <w:r>
        <w:t xml:space="preserve"> </w:t>
      </w:r>
      <w:r>
        <w:rPr>
          <w:iCs/>
          <w:i/>
        </w:rPr>
        <w:t xml:space="preserve">très probable</w:t>
      </w:r>
      <w:r>
        <w:t xml:space="preserve"> </w:t>
      </w:r>
      <w:r>
        <w:t xml:space="preserve">: identité établie par plusieurs critères indépendants.</w:t>
      </w:r>
      <w:r>
        <w:t xml:space="preserve"> </w:t>
      </w:r>
      <w:r>
        <w:rPr>
          <w:iCs/>
          <w:i/>
        </w:rPr>
        <w:t xml:space="preserve">probable</w:t>
      </w:r>
      <w:r>
        <w:t xml:space="preserve">,</w:t>
      </w:r>
      <w:r>
        <w:t xml:space="preserve"> </w:t>
      </w:r>
      <w:r>
        <w:rPr>
          <w:iCs/>
          <w:i/>
        </w:rPr>
        <w:t xml:space="preserve">hypothèse</w:t>
      </w:r>
      <w:r>
        <w:t xml:space="preserve">,</w:t>
      </w:r>
      <w:r>
        <w:t xml:space="preserve"> </w:t>
      </w:r>
      <w:r>
        <w:rPr>
          <w:iCs/>
          <w:i/>
        </w:rPr>
        <w:t xml:space="preserve">non résolu</w:t>
      </w:r>
      <w:r>
        <w:t xml:space="preserve"> </w:t>
      </w:r>
      <w:r>
        <w:t xml:space="preserve">: selon le cas.</w:t>
      </w:r>
    </w:p>
    <w:p>
      <w:r>
        <w:pict>
          <v:rect style="width:0;height:1.5pt" o:hralign="center" o:hrstd="t" o:hr="t"/>
        </w:pict>
      </w:r>
    </w:p>
    <w:bookmarkEnd w:id="25"/>
    <w:bookmarkStart w:id="31" w:name="a.-doublons"/>
    <w:p>
      <w:pPr>
        <w:pStyle w:val="Heading2"/>
      </w:pPr>
      <w:r>
        <w:t xml:space="preserve">A. Doublons</w:t>
      </w:r>
    </w:p>
    <w:bookmarkStart w:id="26" w:name="a007-n-106-n-120-zosimus-13-mai-367"/>
    <w:p>
      <w:pPr>
        <w:pStyle w:val="Heading3"/>
      </w:pPr>
      <w:r>
        <w:t xml:space="preserve">A007 — n° 106 / n° 120 (Zosimus, 13 mai 367)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Référence</w:t>
            </w:r>
          </w:p>
        </w:tc>
        <w:tc>
          <w:tcPr/>
          <w:p>
            <w:pPr>
              <w:pStyle w:val="Compact"/>
              <w:jc w:val="left"/>
            </w:pPr>
            <w:r>
              <w:t xml:space="preserve">Texte</w:t>
            </w:r>
          </w:p>
        </w:tc>
      </w:tr>
      <w:tr>
        <w:tc>
          <w:tcPr/>
          <w:p>
            <w:pPr>
              <w:pStyle w:val="Compact"/>
              <w:jc w:val="left"/>
            </w:pPr>
            <w:r>
              <w:t xml:space="preserve">n° 106</w:t>
            </w:r>
          </w:p>
        </w:tc>
        <w:tc>
          <w:tcPr/>
          <w:p>
            <w:pPr>
              <w:pStyle w:val="Compact"/>
              <w:jc w:val="left"/>
            </w:pPr>
            <w:r>
              <w:t xml:space="preserve">AE 1905, 71 (EDCS-16600352)</w:t>
            </w:r>
          </w:p>
        </w:tc>
        <w:tc>
          <w:tcPr/>
          <w:p>
            <w:pPr>
              <w:pStyle w:val="Compact"/>
              <w:jc w:val="left"/>
            </w:pPr>
            <w:r>
              <w:rPr>
                <w:rStyle w:val="VerbatimChar"/>
              </w:rPr>
              <w:t xml:space="preserve">Zosimus c(iu)esq(it!) in pace / annorum plus minus / [3] III Idus Ma/[ias] Lupicin/o et Io&lt;v=B&gt;ino cons(ulibus)</w:t>
            </w:r>
          </w:p>
        </w:tc>
      </w:tr>
      <w:tr>
        <w:tc>
          <w:tcPr/>
          <w:p>
            <w:pPr>
              <w:pStyle w:val="Compact"/>
              <w:jc w:val="left"/>
            </w:pPr>
            <w:r>
              <w:t xml:space="preserve">n° 120</w:t>
            </w:r>
          </w:p>
        </w:tc>
        <w:tc>
          <w:tcPr/>
          <w:p>
            <w:pPr>
              <w:pStyle w:val="Compact"/>
              <w:jc w:val="left"/>
            </w:pPr>
            <w:r>
              <w:t xml:space="preserve">ICUR II 6028 = ILCV +3099 (EDCS-34200654)</w:t>
            </w:r>
          </w:p>
        </w:tc>
        <w:tc>
          <w:tcPr/>
          <w:p>
            <w:pPr>
              <w:pStyle w:val="Compact"/>
              <w:jc w:val="left"/>
            </w:pPr>
            <w:r>
              <w:rPr>
                <w:rStyle w:val="VerbatimChar"/>
              </w:rPr>
              <w:t xml:space="preserve">Zosimus recessit in pace / annorum plus minus / [3]III Idus Ma/ias Lup{p}icin/o et Io&lt;v=B&gt;ino cons(ulibus)</w:t>
            </w:r>
          </w:p>
        </w:tc>
      </w:tr>
      <w:tr>
        <w:tc>
          <w:tcPr/>
          <w:p>
            <w:pPr>
              <w:pStyle w:val="Compact"/>
              <w:jc w:val="left"/>
            </w:pPr>
            <w:r>
              <w:t xml:space="preserve">EDB13167</w:t>
            </w:r>
          </w:p>
        </w:tc>
        <w:tc>
          <w:tcPr/>
          <w:p>
            <w:pPr>
              <w:pStyle w:val="Compact"/>
              <w:jc w:val="left"/>
            </w:pPr>
            <w:r>
              <w:t xml:space="preserve">ICVR 6028,</w:t>
            </w:r>
            <w:r>
              <w:t xml:space="preserve"> </w:t>
            </w:r>
            <w:r>
              <w:rPr>
                <w:iCs/>
                <w:i/>
              </w:rPr>
              <w:t xml:space="preserve">Coem. Commodillae</w:t>
            </w:r>
            <w:r>
              <w:t xml:space="preserve">, daté 367</w:t>
            </w:r>
          </w:p>
        </w:tc>
        <w:tc>
          <w:tcPr/>
          <w:p>
            <w:pPr>
              <w:pStyle w:val="Compact"/>
              <w:jc w:val="left"/>
            </w:pPr>
            <w:r>
              <w:rPr>
                <w:rStyle w:val="VerbatimChar"/>
              </w:rPr>
              <w:t xml:space="preserve">Zosimus recessit in pace / annorum plus minus / [---]III idus ma/ias Lupicin/o et Iobino cons(ulibus)</w:t>
            </w:r>
          </w:p>
        </w:tc>
      </w:tr>
    </w:tbl>
    <w:p>
      <w:pPr>
        <w:numPr>
          <w:ilvl w:val="0"/>
          <w:numId w:val="1005"/>
        </w:numPr>
        <w:pStyle w:val="Compact"/>
      </w:pPr>
      <w:r>
        <w:rPr>
          <w:bCs/>
          <w:b/>
        </w:rPr>
        <w:t xml:space="preserve">Arguments.</w:t>
      </w:r>
      <w:r>
        <w:t xml:space="preserve"> </w:t>
      </w:r>
      <w:r>
        <w:t xml:space="preserve">Les deux notices concordent sur le nom, la formule «</w:t>
      </w:r>
      <w:r>
        <w:t xml:space="preserve"> </w:t>
      </w:r>
      <w:r>
        <w:rPr>
          <w:iCs/>
          <w:i/>
        </w:rPr>
        <w:t xml:space="preserve">annorum plus minus</w:t>
      </w:r>
      <w:r>
        <w:t xml:space="preserve"> </w:t>
      </w:r>
      <w:r>
        <w:t xml:space="preserve">», la date (III Idus Maias), le consulat (367) et</w:t>
      </w:r>
      <w:r>
        <w:t xml:space="preserve"> </w:t>
      </w:r>
      <w:r>
        <w:rPr>
          <w:bCs/>
          <w:b/>
        </w:rPr>
        <w:t xml:space="preserve">la même coupe de lignes, inhabituelle</w:t>
      </w:r>
      <w:r>
        <w:t xml:space="preserve"> </w:t>
      </w:r>
      <w:r>
        <w:t xml:space="preserve">(</w:t>
      </w:r>
      <w:r>
        <w:rPr>
          <w:iCs/>
          <w:i/>
        </w:rPr>
        <w:t xml:space="preserve">Ma/ias</w:t>
      </w:r>
      <w:r>
        <w:t xml:space="preserve">,</w:t>
      </w:r>
      <w:r>
        <w:t xml:space="preserve"> </w:t>
      </w:r>
      <w:r>
        <w:rPr>
          <w:iCs/>
          <w:i/>
        </w:rPr>
        <w:t xml:space="preserve">Lupicin/o</w:t>
      </w:r>
      <w:r>
        <w:t xml:space="preserve">). Elles divergent sur une seule leçon, le verbe :</w:t>
      </w:r>
      <w:r>
        <w:t xml:space="preserve"> </w:t>
      </w:r>
      <w:r>
        <w:rPr>
          <w:iCs/>
          <w:i/>
        </w:rPr>
        <w:t xml:space="preserve">c(iu)esq(it)</w:t>
      </w:r>
      <w:r>
        <w:t xml:space="preserve"> </w:t>
      </w:r>
      <w:r>
        <w:t xml:space="preserve">dans l’AE de 1905,</w:t>
      </w:r>
      <w:r>
        <w:t xml:space="preserve"> </w:t>
      </w:r>
      <w:r>
        <w:rPr>
          <w:iCs/>
          <w:i/>
        </w:rPr>
        <w:t xml:space="preserve">recessit</w:t>
      </w:r>
      <w:r>
        <w:t xml:space="preserve"> </w:t>
      </w:r>
      <w:r>
        <w:t xml:space="preserve">dans l’ICVR et l’EDB.</w:t>
      </w:r>
    </w:p>
    <w:p>
      <w:pPr>
        <w:numPr>
          <w:ilvl w:val="0"/>
          <w:numId w:val="1005"/>
        </w:numPr>
        <w:pStyle w:val="Compact"/>
      </w:pPr>
      <w:r>
        <w:rPr>
          <w:bCs/>
          <w:b/>
        </w:rPr>
        <w:t xml:space="preserve">Preuve explicite (lot 4).</w:t>
      </w:r>
      <w:r>
        <w:t xml:space="preserve"> </w:t>
      </w:r>
      <w:r>
        <w:t xml:space="preserve">La fiche détaillée EDB13167 renvoie à « Online: EDH30246 ». La fiche</w:t>
      </w:r>
      <w:r>
        <w:t xml:space="preserve"> </w:t>
      </w:r>
      <w:r>
        <w:rPr>
          <w:bCs/>
          <w:b/>
        </w:rPr>
        <w:t xml:space="preserve">EDH HD030246</w:t>
      </w:r>
      <w:r>
        <w:t xml:space="preserve"> </w:t>
      </w:r>
      <w:r>
        <w:t xml:space="preserve">(Epigraphic Database Heidelberg, dump officiel sur GitHub, lu le 14 oct. 2026) donne pour bibliographie « AE 1905, 0071. ICUR n. s. 06028 ». Son texte suit l’AE :</w:t>
      </w:r>
      <w:r>
        <w:t xml:space="preserve"> </w:t>
      </w:r>
      <w:r>
        <w:rPr>
          <w:iCs/>
          <w:i/>
        </w:rPr>
        <w:t xml:space="preserve">c(iu)esq(it) (sic) in pace</w:t>
      </w:r>
      <w:r>
        <w:t xml:space="preserve">. La fiche EDB13167 renvoie aussi à deux photographies de la PCAS (Com_Td_015, Com_Td_006b), non consultées.</w:t>
      </w:r>
    </w:p>
    <w:p>
      <w:pPr>
        <w:numPr>
          <w:ilvl w:val="0"/>
          <w:numId w:val="1005"/>
        </w:numPr>
        <w:pStyle w:val="Compact"/>
      </w:pPr>
      <w:r>
        <w:rPr>
          <w:bCs/>
          <w:b/>
        </w:rPr>
        <w:t xml:space="preserve">Conclusion.</w:t>
      </w:r>
      <w:r>
        <w:t xml:space="preserve"> </w:t>
      </w:r>
      <w:r>
        <w:t xml:space="preserve">Doublon</w:t>
      </w:r>
      <w:r>
        <w:t xml:space="preserve"> </w:t>
      </w:r>
      <w:r>
        <w:rPr>
          <w:bCs/>
          <w:b/>
        </w:rPr>
        <w:t xml:space="preserve">certain</w:t>
      </w:r>
      <w:r>
        <w:t xml:space="preserve"> </w:t>
      </w:r>
      <w:r>
        <w:t xml:space="preserve">(concordance publiée par l’EDH et liée par l’EDB) : une même pierre, publiée en 1905 (AE) puis dans l’ICVR II. La divergence sur le verbe est une</w:t>
      </w:r>
      <w:r>
        <w:t xml:space="preserve"> </w:t>
      </w:r>
      <w:r>
        <w:rPr>
          <w:bCs/>
          <w:b/>
        </w:rPr>
        <w:t xml:space="preserve">variante de lecture</w:t>
      </w:r>
      <w:r>
        <w:t xml:space="preserve"> </w:t>
      </w:r>
      <w:r>
        <w:t xml:space="preserve">à inscrire en apparat ; il n’y a pas deux défunts.</w:t>
      </w:r>
    </w:p>
    <w:p>
      <w:pPr>
        <w:numPr>
          <w:ilvl w:val="0"/>
          <w:numId w:val="1005"/>
        </w:numPr>
        <w:pStyle w:val="Compact"/>
      </w:pPr>
      <w:r>
        <w:rPr>
          <w:bCs/>
          <w:b/>
        </w:rPr>
        <w:t xml:space="preserve">Correction v3.</w:t>
      </w:r>
      <w:r>
        <w:t xml:space="preserve"> </w:t>
      </w:r>
      <w:r>
        <w:t xml:space="preserve">Fusionner le n° 106 dans le n° 120 (référence principale : ICUR II 6028 ; EDB13167). Mettre AE 1905, 71 en bibliographie et sa leçon</w:t>
      </w:r>
      <w:r>
        <w:t xml:space="preserve"> </w:t>
      </w:r>
      <w:r>
        <w:rPr>
          <w:iCs/>
          <w:i/>
        </w:rPr>
        <w:t xml:space="preserve">c(iu)esq(it)</w:t>
      </w:r>
      <w:r>
        <w:t xml:space="preserve"> </w:t>
      </w:r>
      <w:r>
        <w:t xml:space="preserve">en apparat. Donner la provenance « Rome, catacombe de Commodilla (via Ostiensis), d’après l’EDB ».</w:t>
      </w:r>
    </w:p>
    <w:p>
      <w:pPr>
        <w:numPr>
          <w:ilvl w:val="0"/>
          <w:numId w:val="1005"/>
        </w:numPr>
        <w:pStyle w:val="Compact"/>
      </w:pPr>
      <w:r>
        <w:rPr>
          <w:bCs/>
          <w:b/>
        </w:rPr>
        <w:t xml:space="preserve">Reste à vérifier.</w:t>
      </w:r>
      <w:r>
        <w:t xml:space="preserve"> </w:t>
      </w:r>
      <w:r>
        <w:t xml:space="preserve">L’ICVR II 6028 ou les photographies de la PCAS, seules à pouvoir trancher la lecture du verbe :</w:t>
      </w:r>
      <w:r>
        <w:t xml:space="preserve"> </w:t>
      </w:r>
      <w:r>
        <w:rPr>
          <w:iCs/>
          <w:i/>
        </w:rPr>
        <w:t xml:space="preserve">cesquit</w:t>
      </w:r>
      <w:r>
        <w:t xml:space="preserve"> </w:t>
      </w:r>
      <w:r>
        <w:t xml:space="preserve">(AE, EDH) ou</w:t>
      </w:r>
      <w:r>
        <w:t xml:space="preserve"> </w:t>
      </w:r>
      <w:r>
        <w:rPr>
          <w:iCs/>
          <w:i/>
        </w:rPr>
        <w:t xml:space="preserve">recessit</w:t>
      </w:r>
      <w:r>
        <w:t xml:space="preserve"> </w:t>
      </w:r>
      <w:r>
        <w:t xml:space="preserve">(ICVR, EDB).</w:t>
      </w:r>
    </w:p>
    <w:bookmarkEnd w:id="26"/>
    <w:bookmarkStart w:id="27" w:name="a008-n-282-n-288-euticia-3-juillet-386"/>
    <w:p>
      <w:pPr>
        <w:pStyle w:val="Heading3"/>
      </w:pPr>
      <w:r>
        <w:t xml:space="preserve">A008 — n° 282 / n° 288 (Euticia, 3 juillet 386)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Référence</w:t>
            </w:r>
          </w:p>
        </w:tc>
        <w:tc>
          <w:tcPr/>
          <w:p>
            <w:pPr>
              <w:pStyle w:val="Compact"/>
              <w:jc w:val="left"/>
            </w:pPr>
            <w:r>
              <w:t xml:space="preserve">Texte</w:t>
            </w:r>
          </w:p>
        </w:tc>
      </w:tr>
      <w:tr>
        <w:tc>
          <w:tcPr/>
          <w:p>
            <w:pPr>
              <w:pStyle w:val="Compact"/>
              <w:jc w:val="left"/>
            </w:pPr>
            <w:r>
              <w:t xml:space="preserve">n° 282</w:t>
            </w:r>
          </w:p>
        </w:tc>
        <w:tc>
          <w:tcPr/>
          <w:p>
            <w:pPr>
              <w:pStyle w:val="Compact"/>
              <w:jc w:val="left"/>
            </w:pPr>
            <w:r>
              <w:t xml:space="preserve">AE 1906, 86 (EDCS-16600245)</w:t>
            </w:r>
          </w:p>
        </w:tc>
        <w:tc>
          <w:tcPr/>
          <w:p>
            <w:pPr>
              <w:pStyle w:val="Compact"/>
              <w:jc w:val="left"/>
            </w:pPr>
            <w:r>
              <w:rPr>
                <w:rStyle w:val="VerbatimChar"/>
              </w:rPr>
              <w:t xml:space="preserve">]/iciae co(n)iugi quae vixit / ann&lt;o=U&gt;s XXV m(enses) II d(ies) XXVII deposita / V Nonas Iul(ias) in pace consulatu / Honori{o} n(obilissimi) p(ueri) et Euodi{o}</w:t>
            </w:r>
          </w:p>
        </w:tc>
      </w:tr>
      <w:tr>
        <w:tc>
          <w:tcPr/>
          <w:p>
            <w:pPr>
              <w:pStyle w:val="Compact"/>
              <w:jc w:val="left"/>
            </w:pPr>
            <w:r>
              <w:t xml:space="preserve">n° 288</w:t>
            </w:r>
          </w:p>
        </w:tc>
        <w:tc>
          <w:tcPr/>
          <w:p>
            <w:pPr>
              <w:pStyle w:val="Compact"/>
              <w:jc w:val="left"/>
            </w:pPr>
            <w:r>
              <w:t xml:space="preserve">ICUR II 6043 = ILCV 2978c (EDCS-34200669)</w:t>
            </w:r>
          </w:p>
        </w:tc>
        <w:tc>
          <w:tcPr/>
          <w:p>
            <w:pPr>
              <w:pStyle w:val="Compact"/>
              <w:jc w:val="left"/>
            </w:pPr>
            <w:r>
              <w:rPr>
                <w:rStyle w:val="VerbatimChar"/>
              </w:rPr>
              <w:t xml:space="preserve">Euticiae coniugi quae vixit / ann&lt;o=V&gt;s XXV m(enses) II d(ies) XXVII deposita / V Nonas Iul(ias) in pace consulatum / Fl(avio) Honorio n(obilissimo) p(uero) et Euodio v(iro) c(larissimo) cons(ulibu)s</w:t>
            </w:r>
          </w:p>
        </w:tc>
      </w:tr>
      <w:tr>
        <w:tc>
          <w:tcPr/>
          <w:p>
            <w:pPr>
              <w:pStyle w:val="Compact"/>
              <w:jc w:val="left"/>
            </w:pPr>
            <w:r>
              <w:t xml:space="preserve">EDB11278</w:t>
            </w:r>
          </w:p>
        </w:tc>
        <w:tc>
          <w:tcPr/>
          <w:p>
            <w:pPr>
              <w:pStyle w:val="Compact"/>
              <w:jc w:val="left"/>
            </w:pPr>
            <w:r>
              <w:t xml:space="preserve">ICVR 6043,</w:t>
            </w:r>
            <w:r>
              <w:t xml:space="preserve"> </w:t>
            </w:r>
            <w:r>
              <w:rPr>
                <w:iCs/>
                <w:i/>
              </w:rPr>
              <w:t xml:space="preserve">Coem. Commodillae</w:t>
            </w:r>
            <w:r>
              <w:t xml:space="preserve">, daté 386</w:t>
            </w:r>
          </w:p>
        </w:tc>
        <w:tc>
          <w:tcPr/>
          <w:p>
            <w:pPr>
              <w:pStyle w:val="Compact"/>
              <w:jc w:val="left"/>
            </w:pPr>
            <w:r>
              <w:rPr>
                <w:rStyle w:val="VerbatimChar"/>
              </w:rPr>
              <w:t xml:space="preserve">Euticiae coniugi quae vixit / annus XXV m(enses) II d(ies) XXVII deposita / V nonas iul(ias) in pace consulatum / Fl(avio) Honorio n(obilissimo) p(uero) et Evodio v(iro) c(larissimo) cons(ulibu)s</w:t>
            </w:r>
          </w:p>
        </w:tc>
      </w:tr>
    </w:tbl>
    <w:p>
      <w:pPr>
        <w:numPr>
          <w:ilvl w:val="0"/>
          <w:numId w:val="1006"/>
        </w:numPr>
        <w:pStyle w:val="Compact"/>
      </w:pPr>
      <w:r>
        <w:rPr>
          <w:bCs/>
          <w:b/>
        </w:rPr>
        <w:t xml:space="preserve">Arguments.</w:t>
      </w:r>
      <w:r>
        <w:t xml:space="preserve"> </w:t>
      </w:r>
      <w:r>
        <w:t xml:space="preserve">L’âge est identique</w:t>
      </w:r>
      <w:r>
        <w:t xml:space="preserve"> </w:t>
      </w:r>
      <w:r>
        <w:rPr>
          <w:bCs/>
          <w:b/>
        </w:rPr>
        <w:t xml:space="preserve">au jour près</w:t>
      </w:r>
      <w:r>
        <w:t xml:space="preserve"> </w:t>
      </w:r>
      <w:r>
        <w:t xml:space="preserve">(25 ans, 2 mois, 27 jours), comme la date (V Non. Iul.), le consulat (386), la coupe des lignes 1 à 3 et la terminaison</w:t>
      </w:r>
      <w:r>
        <w:t xml:space="preserve"> </w:t>
      </w:r>
      <w:r>
        <w:rPr>
          <w:iCs/>
          <w:i/>
        </w:rPr>
        <w:t xml:space="preserve">]iciae</w:t>
      </w:r>
      <w:r>
        <w:t xml:space="preserve"> </w:t>
      </w:r>
      <w:r>
        <w:t xml:space="preserve">compatible avec</w:t>
      </w:r>
      <w:r>
        <w:t xml:space="preserve"> </w:t>
      </w:r>
      <w:r>
        <w:rPr>
          <w:iCs/>
          <w:i/>
        </w:rPr>
        <w:t xml:space="preserve">Euticiae</w:t>
      </w:r>
      <w:r>
        <w:t xml:space="preserve">. Le texte de l’AE de 1906 est un état plus fragmentaire ou abrégé de la même pierre.</w:t>
      </w:r>
    </w:p>
    <w:p>
      <w:pPr>
        <w:numPr>
          <w:ilvl w:val="0"/>
          <w:numId w:val="1006"/>
        </w:numPr>
        <w:pStyle w:val="Compact"/>
      </w:pPr>
      <w:r>
        <w:rPr>
          <w:bCs/>
          <w:b/>
        </w:rPr>
        <w:t xml:space="preserve">Conclusion.</w:t>
      </w:r>
      <w:r>
        <w:t xml:space="preserve"> </w:t>
      </w:r>
      <w:r>
        <w:t xml:space="preserve">Doublon</w:t>
      </w:r>
      <w:r>
        <w:t xml:space="preserve"> </w:t>
      </w:r>
      <w:r>
        <w:rPr>
          <w:bCs/>
          <w:b/>
        </w:rPr>
        <w:t xml:space="preserve">très probable</w:t>
      </w:r>
      <w:r>
        <w:t xml:space="preserve">.</w:t>
      </w:r>
    </w:p>
    <w:p>
      <w:pPr>
        <w:numPr>
          <w:ilvl w:val="0"/>
          <w:numId w:val="1006"/>
        </w:numPr>
        <w:pStyle w:val="Compact"/>
      </w:pPr>
      <w:r>
        <w:rPr>
          <w:bCs/>
          <w:b/>
        </w:rPr>
        <w:t xml:space="preserve">Correction v3.</w:t>
      </w:r>
      <w:r>
        <w:t xml:space="preserve"> </w:t>
      </w:r>
      <w:r>
        <w:t xml:space="preserve">Fusionner le n° 282 dans le n° 288 (ICUR II 6043 ; EDB11278) et mettre AE 1906, 86 en bibliographie.</w:t>
      </w:r>
    </w:p>
    <w:p>
      <w:pPr>
        <w:numPr>
          <w:ilvl w:val="0"/>
          <w:numId w:val="1006"/>
        </w:numPr>
        <w:pStyle w:val="Compact"/>
      </w:pPr>
      <w:r>
        <w:rPr>
          <w:bCs/>
          <w:b/>
        </w:rPr>
        <w:t xml:space="preserve">Reste à vérifier.</w:t>
      </w:r>
      <w:r>
        <w:t xml:space="preserve"> </w:t>
      </w:r>
      <w:r>
        <w:t xml:space="preserve">Fiche EDB11278 détaillée (bibliographie complète) ; ICVR II 6043.</w:t>
      </w:r>
    </w:p>
    <w:bookmarkEnd w:id="27"/>
    <w:bookmarkStart w:id="28" w:name="X205a355eb4e1182265af2ff53f72b5ecd43ddd3"/>
    <w:p>
      <w:pPr>
        <w:pStyle w:val="Heading3"/>
      </w:pPr>
      <w:r>
        <w:t xml:space="preserve">A006 — n° 329 / n° 336 (Petilianus, 11 mai 391) —</w:t>
      </w:r>
      <w:r>
        <w:t xml:space="preserve"> </w:t>
      </w:r>
      <w:r>
        <w:rPr>
          <w:bCs/>
          <w:b/>
        </w:rPr>
        <w:t xml:space="preserve">résolu</w:t>
      </w:r>
    </w:p>
    <w:p>
      <w:pPr>
        <w:numPr>
          <w:ilvl w:val="0"/>
          <w:numId w:val="1007"/>
        </w:numPr>
        <w:pStyle w:val="Compact"/>
      </w:pPr>
      <w:r>
        <w:rPr>
          <w:bCs/>
          <w:b/>
        </w:rPr>
        <w:t xml:space="preserve">Preuve explicite.</w:t>
      </w:r>
      <w:r>
        <w:t xml:space="preserve"> </w:t>
      </w:r>
      <w:r>
        <w:t xml:space="preserve">La liste EDB donne pour</w:t>
      </w:r>
      <w:r>
        <w:t xml:space="preserve"> </w:t>
      </w:r>
      <w:r>
        <w:rPr>
          <w:bCs/>
          <w:b/>
        </w:rPr>
        <w:t xml:space="preserve">EDB10126 = ICVR 6050</w:t>
      </w:r>
      <w:r>
        <w:t xml:space="preserve"> </w:t>
      </w:r>
      <w:r>
        <w:t xml:space="preserve">la bibliographie « AE, 1987, 61 ; Paci 1985, 542-544 ; Marinucci 1991, 104-105, n. 26 ; AE, 1991, 361 ». Or AE 1987, 61 est la référence unique du n° 329. L’EDB rattache ainsi expressément le texte de l’AE au numéro ICVR.</w:t>
      </w:r>
    </w:p>
    <w:p>
      <w:pPr>
        <w:numPr>
          <w:ilvl w:val="0"/>
          <w:numId w:val="1007"/>
        </w:numPr>
        <w:pStyle w:val="Compact"/>
      </w:pPr>
      <w:r>
        <w:rPr>
          <w:bCs/>
          <w:b/>
        </w:rPr>
        <w:t xml:space="preserve">Conclusion.</w:t>
      </w:r>
      <w:r>
        <w:t xml:space="preserve"> </w:t>
      </w:r>
      <w:r>
        <w:t xml:space="preserve">Doublon</w:t>
      </w:r>
      <w:r>
        <w:t xml:space="preserve"> </w:t>
      </w:r>
      <w:r>
        <w:rPr>
          <w:bCs/>
          <w:b/>
        </w:rPr>
        <w:t xml:space="preserve">certain</w:t>
      </w:r>
      <w:r>
        <w:t xml:space="preserve"> </w:t>
      </w:r>
      <w:r>
        <w:t xml:space="preserve">(concordance publiée par l’EDB). La v2.0 l’avait déjà traité.</w:t>
      </w:r>
    </w:p>
    <w:p>
      <w:pPr>
        <w:numPr>
          <w:ilvl w:val="0"/>
          <w:numId w:val="1007"/>
        </w:numPr>
        <w:pStyle w:val="Compact"/>
      </w:pPr>
      <w:r>
        <w:rPr>
          <w:bCs/>
          <w:b/>
        </w:rPr>
        <w:t xml:space="preserve">Données nouvelles (fiche détaillée EDB10126).</w:t>
      </w:r>
      <w:r>
        <w:t xml:space="preserve"> </w:t>
      </w:r>
      <w:r>
        <w:t xml:space="preserve">Plaque de marbre, 34,2 × 20,3 cm, lettres de 4 cm. La pierre est en</w:t>
      </w:r>
      <w:r>
        <w:t xml:space="preserve"> </w:t>
      </w:r>
      <w:r>
        <w:rPr>
          <w:bCs/>
          <w:b/>
        </w:rPr>
        <w:t xml:space="preserve">deux fragments</w:t>
      </w:r>
      <w:r>
        <w:t xml:space="preserve"> </w:t>
      </w:r>
      <w:r>
        <w:t xml:space="preserve">conservés en deux lieux : le fragment gauche, tenu pour perdu par Silvagni dans l’ICVR, se trouve à Treia (MC), Villa Luzi Votalarca (cf. Paci 1985) ; le fragment droit est à l’</w:t>
      </w:r>
      <w:r>
        <w:rPr>
          <w:bCs/>
          <w:b/>
        </w:rPr>
        <w:t xml:space="preserve">Ostia Antica, Lapidario</w:t>
      </w:r>
      <w:r>
        <w:t xml:space="preserve">, où Marinucci l’avait pris pour une inscription inédite d’Ostie. Fiche EDR correspondante : EDR031373. Note de l’EDB : « Transcription different from ICVR ». Elle signale aussi deux références que la v2.0 ignorait : AE 1991, 361 ; Marinucci 1991, 104-105, n. 26.</w:t>
      </w:r>
    </w:p>
    <w:p>
      <w:pPr>
        <w:numPr>
          <w:ilvl w:val="0"/>
          <w:numId w:val="1007"/>
        </w:numPr>
        <w:pStyle w:val="Compact"/>
      </w:pPr>
      <w:r>
        <w:rPr>
          <w:bCs/>
          <w:b/>
        </w:rPr>
        <w:t xml:space="preserve">Variante d’âge.</w:t>
      </w:r>
      <w:r>
        <w:t xml:space="preserve"> </w:t>
      </w:r>
      <w:r>
        <w:t xml:space="preserve">L’EDB lit</w:t>
      </w:r>
      <w:r>
        <w:t xml:space="preserve"> </w:t>
      </w:r>
      <w:r>
        <w:rPr>
          <w:rStyle w:val="VerbatimChar"/>
        </w:rPr>
        <w:t xml:space="preserve">L[X]V</w:t>
      </w:r>
      <w:r>
        <w:t xml:space="preserve">, avec un X restitué. Le n° 336 (EDCS) donne</w:t>
      </w:r>
      <w:r>
        <w:t xml:space="preserve"> </w:t>
      </w:r>
      <w:r>
        <w:rPr>
          <w:rStyle w:val="VerbatimChar"/>
        </w:rPr>
        <w:t xml:space="preserve">LXV</w:t>
      </w:r>
      <w:r>
        <w:t xml:space="preserve"> </w:t>
      </w:r>
      <w:r>
        <w:t xml:space="preserve">sans crochet, le n° 329</w:t>
      </w:r>
      <w:r>
        <w:t xml:space="preserve"> </w:t>
      </w:r>
      <w:r>
        <w:rPr>
          <w:rStyle w:val="VerbatimChar"/>
        </w:rPr>
        <w:t xml:space="preserve">L[1]V</w:t>
      </w:r>
      <w:r>
        <w:t xml:space="preserve">. L’âge de 65 ans est donc</w:t>
      </w:r>
      <w:r>
        <w:t xml:space="preserve"> </w:t>
      </w:r>
      <w:r>
        <w:rPr>
          <w:bCs/>
          <w:b/>
        </w:rPr>
        <w:t xml:space="preserve">partiellement restitué</w:t>
      </w:r>
      <w:r>
        <w:t xml:space="preserve"> </w:t>
      </w:r>
      <w:r>
        <w:t xml:space="preserve">et doit être codé ainsi dans la table des âges.</w:t>
      </w:r>
    </w:p>
    <w:bookmarkEnd w:id="28"/>
    <w:bookmarkStart w:id="29" w:name="X361b1fc8ed95ea89c2cd6e611eaaa96fb4e2706"/>
    <w:p>
      <w:pPr>
        <w:pStyle w:val="Heading3"/>
      </w:pPr>
      <w:r>
        <w:t xml:space="preserve">A009 — n° 313 / n° 314 (ICUR IV 11117a/b) — résolu quant à la structure</w:t>
      </w:r>
    </w:p>
    <w:p>
      <w:pPr>
        <w:numPr>
          <w:ilvl w:val="0"/>
          <w:numId w:val="1008"/>
        </w:numPr>
        <w:pStyle w:val="Compact"/>
      </w:pPr>
      <w:r>
        <w:rPr>
          <w:bCs/>
          <w:b/>
        </w:rPr>
        <w:t xml:space="preserve">EDB39579 = ICVR 11117</w:t>
      </w:r>
      <w:r>
        <w:t xml:space="preserve">, une</w:t>
      </w:r>
      <w:r>
        <w:t xml:space="preserve"> </w:t>
      </w:r>
      <w:r>
        <w:rPr>
          <w:bCs/>
          <w:b/>
        </w:rPr>
        <w:t xml:space="preserve">fiche unique</w:t>
      </w:r>
      <w:r>
        <w:t xml:space="preserve"> </w:t>
      </w:r>
      <w:r>
        <w:t xml:space="preserve">portant deux sections marquées</w:t>
      </w:r>
      <w:r>
        <w:t xml:space="preserve"> </w:t>
      </w:r>
      <w:r>
        <w:rPr>
          <w:rStyle w:val="VerbatimChar"/>
        </w:rPr>
        <w:t xml:space="preserve">〈: a〉</w:t>
      </w:r>
      <w:r>
        <w:t xml:space="preserve"> </w:t>
      </w:r>
      <w:r>
        <w:t xml:space="preserve">et</w:t>
      </w:r>
      <w:r>
        <w:t xml:space="preserve"> </w:t>
      </w:r>
      <w:r>
        <w:rPr>
          <w:rStyle w:val="VerbatimChar"/>
        </w:rPr>
        <w:t xml:space="preserve">〈: b〉</w:t>
      </w:r>
      <w:r>
        <w:t xml:space="preserve">. Provenance :</w:t>
      </w:r>
      <w:r>
        <w:t xml:space="preserve"> </w:t>
      </w:r>
      <w:r>
        <w:rPr>
          <w:iCs/>
          <w:i/>
        </w:rPr>
        <w:t xml:space="preserve">Coem. Callisti area subdialis et incerti loci</w:t>
      </w:r>
      <w:r>
        <w:t xml:space="preserve"> </w:t>
      </w:r>
      <w:r>
        <w:t xml:space="preserve">(conservation : même lieu) ; datation EDB : « 389 - 390 ».</w:t>
      </w:r>
    </w:p>
    <w:p>
      <w:pPr>
        <w:numPr>
          <w:ilvl w:val="0"/>
          <w:numId w:val="1008"/>
        </w:numPr>
        <w:pStyle w:val="Compact"/>
      </w:pPr>
      <w:r>
        <w:rPr>
          <w:bCs/>
          <w:b/>
        </w:rPr>
        <w:t xml:space="preserve">Texte EDB.</w:t>
      </w:r>
      <w:r>
        <w:t xml:space="preserve"> </w:t>
      </w:r>
      <w:r>
        <w:rPr>
          <w:rStyle w:val="VerbatimChar"/>
        </w:rPr>
        <w:t xml:space="preserve">〈: a〉 [--- Ti]masio et Promoto con(sulibu)s deposit[us est ---] / XV kal(endas) nobembres / 〈: b〉 et fra[ter eius ---] / d̅(omi)n̅(o) V[alentiniano augusto IIII et Neoterio consulibus]</w:t>
      </w:r>
      <w:r>
        <w:t xml:space="preserve">.</w:t>
      </w:r>
    </w:p>
    <w:p>
      <w:pPr>
        <w:numPr>
          <w:ilvl w:val="0"/>
          <w:numId w:val="1008"/>
        </w:numPr>
        <w:pStyle w:val="Compact"/>
      </w:pPr>
      <w:r>
        <w:rPr>
          <w:bCs/>
          <w:b/>
        </w:rPr>
        <w:t xml:space="preserve">Fiche détaillée (lot 4).</w:t>
      </w:r>
      <w:r>
        <w:t xml:space="preserve"> </w:t>
      </w:r>
      <w:r>
        <w:t xml:space="preserve">Plaque de marbre de 22 × 105 × 3,6 cm, lettres de 3,6 cm. Trois photographies de la PCAS sont signalées (11117_1-3), non consultées. Note de l’EDB : « rr 3-4 commemorant fratrem priorem defunctum », c’est-à-dire que les lignes 3-4 commémorent le frère</w:t>
      </w:r>
      <w:r>
        <w:t xml:space="preserve"> </w:t>
      </w:r>
      <w:r>
        <w:rPr>
          <w:bCs/>
          <w:b/>
        </w:rPr>
        <w:t xml:space="preserve">mort auparavant</w:t>
      </w:r>
      <w:r>
        <w:t xml:space="preserve">.</w:t>
      </w:r>
    </w:p>
    <w:p>
      <w:pPr>
        <w:numPr>
          <w:ilvl w:val="0"/>
          <w:numId w:val="1008"/>
        </w:numPr>
        <w:pStyle w:val="Compact"/>
      </w:pPr>
      <w:r>
        <w:rPr>
          <w:bCs/>
          <w:b/>
        </w:rPr>
        <w:t xml:space="preserve">Conclusion.</w:t>
      </w:r>
    </w:p>
    <w:p>
      <w:pPr>
        <w:numPr>
          <w:ilvl w:val="1"/>
          <w:numId w:val="1009"/>
        </w:numPr>
        <w:pStyle w:val="Compact"/>
      </w:pPr>
      <w:r>
        <w:t xml:space="preserve">Il s’agit d’</w:t>
      </w:r>
      <w:r>
        <w:rPr>
          <w:bCs/>
          <w:b/>
        </w:rPr>
        <w:t xml:space="preserve">un seul monument</w:t>
      </w:r>
      <w:r>
        <w:t xml:space="preserve"> </w:t>
      </w:r>
      <w:r>
        <w:t xml:space="preserve">portant deux commémorations : (a) une déposition de 389 et (b) le frère</w:t>
      </w:r>
      <w:r>
        <w:t xml:space="preserve"> </w:t>
      </w:r>
      <w:r>
        <w:rPr>
          <w:iCs/>
          <w:i/>
        </w:rPr>
        <w:t xml:space="preserve">et fra[ter eius]</w:t>
      </w:r>
      <w:r>
        <w:t xml:space="preserve">. Certitude : très probable.</w:t>
      </w:r>
    </w:p>
    <w:p>
      <w:pPr>
        <w:numPr>
          <w:ilvl w:val="1"/>
          <w:numId w:val="1009"/>
        </w:numPr>
        <w:pStyle w:val="Compact"/>
      </w:pPr>
      <w:r>
        <w:t xml:space="preserve">L’année de (b) repose sur</w:t>
      </w:r>
      <w:r>
        <w:t xml:space="preserve"> </w:t>
      </w:r>
      <w:r>
        <w:rPr>
          <w:iCs/>
          <w:i/>
        </w:rPr>
        <w:t xml:space="preserve">d(omino) n(ostro) V[…]</w:t>
      </w:r>
      <w:r>
        <w:t xml:space="preserve">, seul élément lu. Si le frère est mort</w:t>
      </w:r>
      <w:r>
        <w:t xml:space="preserve"> </w:t>
      </w:r>
      <w:r>
        <w:rPr>
          <w:bCs/>
          <w:b/>
        </w:rPr>
        <w:t xml:space="preserve">avant</w:t>
      </w:r>
      <w:r>
        <w:t xml:space="preserve"> </w:t>
      </w:r>
      <w:r>
        <w:t xml:space="preserve">389, comme l’indique la note de l’EDB, la restitution</w:t>
      </w:r>
      <w:r>
        <w:t xml:space="preserve"> </w:t>
      </w:r>
      <w:r>
        <w:rPr>
          <w:iCs/>
          <w:i/>
        </w:rPr>
        <w:t xml:space="preserve">V[alentiniano IIII et Neoterio]</w:t>
      </w:r>
      <w:r>
        <w:t xml:space="preserve"> </w:t>
      </w:r>
      <w:r>
        <w:t xml:space="preserve">(390)</w:t>
      </w:r>
      <w:r>
        <w:t xml:space="preserve"> </w:t>
      </w:r>
      <w:r>
        <w:rPr>
          <w:bCs/>
          <w:b/>
        </w:rPr>
        <w:t xml:space="preserve">devient contradictoire</w:t>
      </w:r>
      <w:r>
        <w:t xml:space="preserve">. Un consulat antérieur ouvert par</w:t>
      </w:r>
      <w:r>
        <w:t xml:space="preserve"> </w:t>
      </w:r>
      <w:r>
        <w:rPr>
          <w:iCs/>
          <w:i/>
        </w:rPr>
        <w:t xml:space="preserve">d. n. Valentinianus</w:t>
      </w:r>
      <w:r>
        <w:t xml:space="preserve"> </w:t>
      </w:r>
      <w:r>
        <w:t xml:space="preserve">serait alors plus cohérent, par exemple Valentinien II III et Eutropius, en 387 : c’est une hypothèse à vérifier sur CLRE. Dans tous les cas, la datation de (b) est</w:t>
      </w:r>
      <w:r>
        <w:t xml:space="preserve"> </w:t>
      </w:r>
      <w:r>
        <w:rPr>
          <w:bCs/>
          <w:b/>
        </w:rPr>
        <w:t xml:space="preserve">incertaine</w:t>
      </w:r>
      <w:r>
        <w:t xml:space="preserve">, et l’année 390 ne doit plus être retenue sans réserve.</w:t>
      </w:r>
    </w:p>
    <w:p>
      <w:pPr>
        <w:numPr>
          <w:ilvl w:val="0"/>
          <w:numId w:val="1008"/>
        </w:numPr>
        <w:pStyle w:val="Compact"/>
      </w:pPr>
      <w:r>
        <w:rPr>
          <w:bCs/>
          <w:b/>
        </w:rPr>
        <w:t xml:space="preserve">Correction v3.</w:t>
      </w:r>
      <w:r>
        <w:t xml:space="preserve"> </w:t>
      </w:r>
      <w:r>
        <w:t xml:space="preserve">Une unité documentaire, deux textes datés. Pour le n° 314, coder « consulat restitué » et non « consulat lu ».</w:t>
      </w:r>
    </w:p>
    <w:bookmarkEnd w:id="29"/>
    <w:bookmarkStart w:id="30" w:name="Xe613fcfc6b8c64839865fcb574327887a1493cc"/>
    <w:p>
      <w:pPr>
        <w:pStyle w:val="Heading3"/>
      </w:pPr>
      <w:r>
        <w:t xml:space="preserve">A010 — n° 393 / n° 394 (ICUR IV 11126a/b) — l’EDCS restitue plus que l’EDB</w:t>
      </w:r>
    </w:p>
    <w:p>
      <w:pPr>
        <w:numPr>
          <w:ilvl w:val="0"/>
          <w:numId w:val="1010"/>
        </w:numPr>
        <w:pStyle w:val="Compact"/>
      </w:pPr>
      <w:r>
        <w:rPr>
          <w:bCs/>
          <w:b/>
        </w:rPr>
        <w:t xml:space="preserve">EDB39590 = ICVR 11126</w:t>
      </w:r>
      <w:r>
        <w:t xml:space="preserve">, une</w:t>
      </w:r>
      <w:r>
        <w:t xml:space="preserve"> </w:t>
      </w:r>
      <w:r>
        <w:rPr>
          <w:bCs/>
          <w:b/>
        </w:rPr>
        <w:t xml:space="preserve">fiche unique</w:t>
      </w:r>
      <w:r>
        <w:t xml:space="preserve"> </w:t>
      </w:r>
      <w:r>
        <w:t xml:space="preserve">à deux sections (a, b). Même provenance que la précédente ; datation EDB : 396.</w:t>
      </w:r>
    </w:p>
    <w:p>
      <w:pPr>
        <w:numPr>
          <w:ilvl w:val="0"/>
          <w:numId w:val="1010"/>
        </w:numPr>
        <w:pStyle w:val="Compact"/>
      </w:pPr>
      <w:r>
        <w:rPr>
          <w:bCs/>
          <w:b/>
        </w:rPr>
        <w:t xml:space="preserve">Texte EDB.</w:t>
      </w:r>
      <w:r>
        <w:t xml:space="preserve"> </w:t>
      </w:r>
      <w:r>
        <w:rPr>
          <w:rStyle w:val="VerbatimChar"/>
        </w:rPr>
        <w:t xml:space="preserve">〈:a〉 ------ / [---]+[---] / [---]IIII H[---] / ------ / 〈:b〉 [---]ADIO[---] / [---]o III Aug(usto) [---]</w:t>
      </w:r>
      <w:r>
        <w:t xml:space="preserve">.</w:t>
      </w:r>
    </w:p>
    <w:p>
      <w:pPr>
        <w:numPr>
          <w:ilvl w:val="0"/>
          <w:numId w:val="1010"/>
        </w:numPr>
        <w:pStyle w:val="Compact"/>
      </w:pPr>
      <w:r>
        <w:rPr>
          <w:bCs/>
          <w:b/>
        </w:rPr>
        <w:t xml:space="preserve">Texte EDCS (v2.0).</w:t>
      </w:r>
      <w:r>
        <w:t xml:space="preserve"> </w:t>
      </w:r>
      <w:r>
        <w:t xml:space="preserve">N° 393 :</w:t>
      </w:r>
      <w:r>
        <w:t xml:space="preserve"> </w:t>
      </w:r>
      <w:r>
        <w:rPr>
          <w:rStyle w:val="VerbatimChar"/>
        </w:rPr>
        <w:t xml:space="preserve">Arcadio] IIII H[onorio III Augg(ustis) conss(ulibus)]</w:t>
      </w:r>
      <w:r>
        <w:t xml:space="preserve">. N° 394 :</w:t>
      </w:r>
      <w:r>
        <w:t xml:space="preserve"> </w:t>
      </w:r>
      <w:r>
        <w:rPr>
          <w:rStyle w:val="VerbatimChar"/>
        </w:rPr>
        <w:t xml:space="preserve">Arc]adio [Hon]/[ori]o III Aug[g(ustis) conss(ulibus)]</w:t>
      </w:r>
      <w:r>
        <w:t xml:space="preserve">.</w:t>
      </w:r>
    </w:p>
    <w:p>
      <w:pPr>
        <w:numPr>
          <w:ilvl w:val="0"/>
          <w:numId w:val="1010"/>
        </w:numPr>
        <w:pStyle w:val="Compact"/>
      </w:pPr>
      <w:r>
        <w:rPr>
          <w:bCs/>
          <w:b/>
        </w:rPr>
        <w:t xml:space="preserve">Constat.</w:t>
      </w:r>
      <w:r>
        <w:t xml:space="preserve"> </w:t>
      </w:r>
      <w:r>
        <w:t xml:space="preserve">L’EDB ne lit dans (b) ni</w:t>
      </w:r>
      <w:r>
        <w:t xml:space="preserve"> </w:t>
      </w:r>
      <w:r>
        <w:rPr>
          <w:iCs/>
          <w:i/>
        </w:rPr>
        <w:t xml:space="preserve">Arc-</w:t>
      </w:r>
      <w:r>
        <w:t xml:space="preserve"> </w:t>
      </w:r>
      <w:r>
        <w:t xml:space="preserve">ni</w:t>
      </w:r>
      <w:r>
        <w:t xml:space="preserve"> </w:t>
      </w:r>
      <w:r>
        <w:rPr>
          <w:iCs/>
          <w:i/>
        </w:rPr>
        <w:t xml:space="preserve">Hon-</w:t>
      </w:r>
      <w:r>
        <w:t xml:space="preserve">. L’EDCS restitue donc davantage que l’EDB. Ce qui est lu (</w:t>
      </w:r>
      <w:r>
        <w:rPr>
          <w:iCs/>
          <w:i/>
        </w:rPr>
        <w:t xml:space="preserve">…IIII H…</w:t>
      </w:r>
      <w:r>
        <w:t xml:space="preserve"> </w:t>
      </w:r>
      <w:r>
        <w:t xml:space="preserve">;</w:t>
      </w:r>
      <w:r>
        <w:t xml:space="preserve"> </w:t>
      </w:r>
      <w:r>
        <w:rPr>
          <w:iCs/>
          <w:i/>
        </w:rPr>
        <w:t xml:space="preserve">…adio…</w:t>
      </w:r>
      <w:r>
        <w:t xml:space="preserve"> </w:t>
      </w:r>
      <w:r>
        <w:t xml:space="preserve">;</w:t>
      </w:r>
      <w:r>
        <w:t xml:space="preserve"> </w:t>
      </w:r>
      <w:r>
        <w:rPr>
          <w:iCs/>
          <w:i/>
        </w:rPr>
        <w:t xml:space="preserve">…o III Aug.</w:t>
      </w:r>
      <w:r>
        <w:t xml:space="preserve">) reste compatible avec le consulat d’Arcadius IV et d’Honorius III (396).</w:t>
      </w:r>
    </w:p>
    <w:p>
      <w:pPr>
        <w:numPr>
          <w:ilvl w:val="0"/>
          <w:numId w:val="1010"/>
        </w:numPr>
        <w:pStyle w:val="Compact"/>
      </w:pPr>
      <w:r>
        <w:rPr>
          <w:bCs/>
          <w:b/>
        </w:rPr>
        <w:t xml:space="preserve">Fiche détaillée (lot 4).</w:t>
      </w:r>
      <w:r>
        <w:t xml:space="preserve"> </w:t>
      </w:r>
      <w:r>
        <w:t xml:space="preserve">Plaque de marbre de 16 × 13 × 2 cm, lettres de 4 cm. Les deux parties ont été relevées en</w:t>
      </w:r>
      <w:r>
        <w:t xml:space="preserve"> </w:t>
      </w:r>
      <w:r>
        <w:rPr>
          <w:bCs/>
          <w:b/>
        </w:rPr>
        <w:t xml:space="preserve">deux endroits</w:t>
      </w:r>
      <w:r>
        <w:t xml:space="preserve"> </w:t>
      </w:r>
      <w:r>
        <w:t xml:space="preserve">: la</w:t>
      </w:r>
      <w:r>
        <w:t xml:space="preserve"> </w:t>
      </w:r>
      <w:r>
        <w:rPr>
          <w:iCs/>
          <w:i/>
        </w:rPr>
        <w:t xml:space="preserve">trichora</w:t>
      </w:r>
      <w:r>
        <w:t xml:space="preserve"> </w:t>
      </w:r>
      <w:r>
        <w:t xml:space="preserve">orientale et la</w:t>
      </w:r>
      <w:r>
        <w:t xml:space="preserve"> </w:t>
      </w:r>
      <w:r>
        <w:rPr>
          <w:iCs/>
          <w:i/>
        </w:rPr>
        <w:t xml:space="preserve">trichora</w:t>
      </w:r>
      <w:r>
        <w:t xml:space="preserve"> </w:t>
      </w:r>
      <w:r>
        <w:t xml:space="preserve">occidentale de l’aire</w:t>
      </w:r>
      <w:r>
        <w:t xml:space="preserve"> </w:t>
      </w:r>
      <w:r>
        <w:rPr>
          <w:iCs/>
          <w:i/>
        </w:rPr>
        <w:t xml:space="preserve">sub divo</w:t>
      </w:r>
      <w:r>
        <w:t xml:space="preserve"> </w:t>
      </w:r>
      <w:r>
        <w:t xml:space="preserve">de Callixte. Note de l’EDB : «</w:t>
      </w:r>
      <w:r>
        <w:t xml:space="preserve"> </w:t>
      </w:r>
      <w:r>
        <w:rPr>
          <w:bCs/>
          <w:b/>
        </w:rPr>
        <w:t xml:space="preserve">Ferrua legit: Arcadio IIII Honorio III Aug(ustis) con(sulibu)s</w:t>
      </w:r>
      <w:r>
        <w:t xml:space="preserve"> </w:t>
      </w:r>
      <w:r>
        <w:t xml:space="preserve">».</w:t>
      </w:r>
    </w:p>
    <w:p>
      <w:pPr>
        <w:numPr>
          <w:ilvl w:val="0"/>
          <w:numId w:val="1010"/>
        </w:numPr>
        <w:pStyle w:val="Compact"/>
      </w:pPr>
      <w:r>
        <w:rPr>
          <w:bCs/>
          <w:b/>
        </w:rPr>
        <w:t xml:space="preserve">Conclusion.</w:t>
      </w:r>
      <w:r>
        <w:t xml:space="preserve"> </w:t>
      </w:r>
      <w:r>
        <w:t xml:space="preserve">(a) et (b) sont</w:t>
      </w:r>
      <w:r>
        <w:t xml:space="preserve"> </w:t>
      </w:r>
      <w:r>
        <w:rPr>
          <w:bCs/>
          <w:b/>
        </w:rPr>
        <w:t xml:space="preserve">deux fragments d’une même petite plaque</w:t>
      </w:r>
      <w:r>
        <w:t xml:space="preserve">, retrouvés en deux lieux, et non deux épitaphes. Certitude : très probable. Le texte EDCS des n° 393/394 reproduit la</w:t>
      </w:r>
      <w:r>
        <w:t xml:space="preserve"> </w:t>
      </w:r>
      <w:r>
        <w:rPr>
          <w:bCs/>
          <w:b/>
        </w:rPr>
        <w:t xml:space="preserve">lecture de Ferrua</w:t>
      </w:r>
      <w:r>
        <w:t xml:space="preserve"> </w:t>
      </w:r>
      <w:r>
        <w:t xml:space="preserve">(ICVR IV). L’EDB, plus prudente, ne lit que</w:t>
      </w:r>
      <w:r>
        <w:t xml:space="preserve"> </w:t>
      </w:r>
      <w:r>
        <w:rPr>
          <w:iCs/>
          <w:i/>
        </w:rPr>
        <w:t xml:space="preserve">…IIII H…</w:t>
      </w:r>
      <w:r>
        <w:t xml:space="preserve"> </w:t>
      </w:r>
      <w:r>
        <w:t xml:space="preserve">et</w:t>
      </w:r>
      <w:r>
        <w:t xml:space="preserve"> </w:t>
      </w:r>
      <w:r>
        <w:rPr>
          <w:iCs/>
          <w:i/>
        </w:rPr>
        <w:t xml:space="preserve">…ADIO… / …o III Aug…</w:t>
      </w:r>
      <w:r>
        <w:t xml:space="preserve">. La date de 396 est solide : les itérations IIII et III lues s’accordent avec Arcadius IV et Honorius III.</w:t>
      </w:r>
    </w:p>
    <w:p>
      <w:pPr>
        <w:numPr>
          <w:ilvl w:val="0"/>
          <w:numId w:val="1010"/>
        </w:numPr>
        <w:pStyle w:val="Compact"/>
      </w:pPr>
      <w:r>
        <w:rPr>
          <w:bCs/>
          <w:b/>
        </w:rPr>
        <w:t xml:space="preserve">Correction v3.</w:t>
      </w:r>
      <w:r>
        <w:t xml:space="preserve"> </w:t>
      </w:r>
      <w:r>
        <w:t xml:space="preserve">Fusionner les n° 393 et 394 en</w:t>
      </w:r>
      <w:r>
        <w:t xml:space="preserve"> </w:t>
      </w:r>
      <w:r>
        <w:rPr>
          <w:bCs/>
          <w:b/>
        </w:rPr>
        <w:t xml:space="preserve">un seul texte</w:t>
      </w:r>
      <w:r>
        <w:t xml:space="preserve"> </w:t>
      </w:r>
      <w:r>
        <w:t xml:space="preserve">à deux fragments, daté de 396 par un consulat partiellement restitué (lecture de Ferrua). Le corpus passe à</w:t>
      </w:r>
      <w:r>
        <w:t xml:space="preserve"> </w:t>
      </w:r>
      <w:r>
        <w:rPr>
          <w:bCs/>
          <w:b/>
        </w:rPr>
        <w:t xml:space="preserve">474 textes distincts</w:t>
      </w:r>
      <w:r>
        <w:t xml:space="preserve">.</w:t>
      </w:r>
    </w:p>
    <w:bookmarkEnd w:id="30"/>
    <w:bookmarkEnd w:id="31"/>
    <w:bookmarkStart w:id="33" w:name="b.-provenance"/>
    <w:p>
      <w:pPr>
        <w:pStyle w:val="Heading2"/>
      </w:pPr>
      <w:r>
        <w:t xml:space="preserve">B. Provenance</w:t>
      </w:r>
    </w:p>
    <w:bookmarkStart w:id="32" w:name="X616d2922546914680e9488c106a594d9f537fd6"/>
    <w:p>
      <w:pPr>
        <w:pStyle w:val="Heading3"/>
      </w:pPr>
      <w:r>
        <w:t xml:space="preserve">A014 — n° 439 (</w:t>
      </w:r>
      <w:r>
        <w:rPr>
          <w:iCs/>
          <w:i/>
        </w:rPr>
        <w:t xml:space="preserve">Petulum</w:t>
      </w:r>
      <w:r>
        <w:t xml:space="preserve">, consulat de Stilicon, 400)</w:t>
      </w:r>
    </w:p>
    <w:p>
      <w:pPr>
        <w:numPr>
          <w:ilvl w:val="0"/>
          <w:numId w:val="1011"/>
        </w:numPr>
        <w:pStyle w:val="Compact"/>
      </w:pPr>
      <w:r>
        <w:rPr>
          <w:bCs/>
          <w:b/>
        </w:rPr>
        <w:t xml:space="preserve">EDB33162 = ICVR 3215.</w:t>
      </w:r>
      <w:r>
        <w:t xml:space="preserve"> </w:t>
      </w:r>
      <w:r>
        <w:t xml:space="preserve">Rattachement EDB : «</w:t>
      </w:r>
      <w:r>
        <w:t xml:space="preserve"> </w:t>
      </w:r>
      <w:r>
        <w:rPr>
          <w:iCs/>
          <w:i/>
        </w:rPr>
        <w:t xml:space="preserve">Incertae originis</w:t>
      </w:r>
      <w:r>
        <w:t xml:space="preserve"> </w:t>
      </w:r>
      <w:r>
        <w:t xml:space="preserve">». Bibliographie EDB : ILCV 4181 ; CIL XIV, 3896.</w:t>
      </w:r>
    </w:p>
    <w:p>
      <w:pPr>
        <w:numPr>
          <w:ilvl w:val="0"/>
          <w:numId w:val="1011"/>
        </w:numPr>
        <w:pStyle w:val="Compact"/>
      </w:pPr>
      <w:r>
        <w:rPr>
          <w:bCs/>
          <w:b/>
        </w:rPr>
        <w:t xml:space="preserve">Constat.</w:t>
      </w:r>
      <w:r>
        <w:t xml:space="preserve"> </w:t>
      </w:r>
      <w:r>
        <w:t xml:space="preserve">Sur les 1 340 fiches EDB des numéros ICVR 1–3229 lues dans ce lot, 1 262 (94 %) portent «</w:t>
      </w:r>
      <w:r>
        <w:t xml:space="preserve"> </w:t>
      </w:r>
      <w:r>
        <w:rPr>
          <w:iCs/>
          <w:i/>
        </w:rPr>
        <w:t xml:space="preserve">Incertae originis</w:t>
      </w:r>
      <w:r>
        <w:t xml:space="preserve"> </w:t>
      </w:r>
      <w:r>
        <w:t xml:space="preserve">». Les autres ont reçu une provenance identifiée ultérieurement (Cyriaque, Pamphile, etc.). Le rattachement à la série des ICVR ne prouve donc pas une provenance romaine, et pour le n° 439 l’EDB n’a identifié aucune provenance.</w:t>
      </w:r>
    </w:p>
    <w:p>
      <w:pPr>
        <w:numPr>
          <w:ilvl w:val="0"/>
          <w:numId w:val="1011"/>
        </w:numPr>
        <w:pStyle w:val="Compact"/>
      </w:pPr>
      <w:r>
        <w:rPr>
          <w:bCs/>
          <w:b/>
        </w:rPr>
        <w:t xml:space="preserve">Concordances.</w:t>
      </w:r>
      <w:r>
        <w:t xml:space="preserve"> </w:t>
      </w:r>
      <w:r>
        <w:t xml:space="preserve">CIL XIV (Latium) et</w:t>
      </w:r>
      <w:r>
        <w:t xml:space="preserve"> </w:t>
      </w:r>
      <w:r>
        <w:rPr>
          <w:iCs/>
          <w:i/>
        </w:rPr>
        <w:t xml:space="preserve">Inscriptiones Italiae</w:t>
      </w:r>
      <w:r>
        <w:t xml:space="preserve"> </w:t>
      </w:r>
      <w:r>
        <w:t xml:space="preserve">IV, 1 (n° 543). La base v2.0 indique que ce dernier volume est consacré à Tibur ; ce point reste à confirmer sur la page de titre du volume.</w:t>
      </w:r>
    </w:p>
    <w:p>
      <w:pPr>
        <w:numPr>
          <w:ilvl w:val="0"/>
          <w:numId w:val="1011"/>
        </w:numPr>
        <w:pStyle w:val="Compact"/>
      </w:pPr>
      <w:r>
        <w:rPr>
          <w:bCs/>
          <w:b/>
        </w:rPr>
        <w:t xml:space="preserve">Variantes de lecture EDCS/EDB.</w:t>
      </w:r>
      <w:r>
        <w:t xml:space="preserve"> </w:t>
      </w:r>
      <w:r>
        <w:rPr>
          <w:iCs/>
          <w:i/>
        </w:rPr>
        <w:t xml:space="preserve">parenti s(uo) posuerunt</w:t>
      </w:r>
      <w:r>
        <w:t xml:space="preserve"> </w:t>
      </w:r>
      <w:r>
        <w:t xml:space="preserve">(EDCS) contre</w:t>
      </w:r>
      <w:r>
        <w:t xml:space="preserve"> </w:t>
      </w:r>
      <w:r>
        <w:rPr>
          <w:iCs/>
          <w:i/>
        </w:rPr>
        <w:t xml:space="preserve">parentis posuerun[t —]</w:t>
      </w:r>
      <w:r>
        <w:t xml:space="preserve"> </w:t>
      </w:r>
      <w:r>
        <w:t xml:space="preserve">(EDB) ;</w:t>
      </w:r>
      <w:r>
        <w:t xml:space="preserve"> </w:t>
      </w:r>
      <w:r>
        <w:rPr>
          <w:iCs/>
          <w:i/>
        </w:rPr>
        <w:t xml:space="preserve">recedi/t</w:t>
      </w:r>
      <w:r>
        <w:t xml:space="preserve"> </w:t>
      </w:r>
      <w:r>
        <w:t xml:space="preserve">(EDCS) contre</w:t>
      </w:r>
      <w:r>
        <w:t xml:space="preserve"> </w:t>
      </w:r>
      <w:r>
        <w:rPr>
          <w:iCs/>
          <w:i/>
        </w:rPr>
        <w:t xml:space="preserve">rec[essi]/t</w:t>
      </w:r>
      <w:r>
        <w:t xml:space="preserve"> </w:t>
      </w:r>
      <w:r>
        <w:t xml:space="preserve">(EDB) ;</w:t>
      </w:r>
      <w:r>
        <w:t xml:space="preserve"> </w:t>
      </w:r>
      <w:r>
        <w:rPr>
          <w:iCs/>
          <w:i/>
        </w:rPr>
        <w:t xml:space="preserve">co(n)s(ulis) {I}Stil(i)c(h)onis</w:t>
      </w:r>
      <w:r>
        <w:t xml:space="preserve"> </w:t>
      </w:r>
      <w:r>
        <w:t xml:space="preserve">(EDCS) contre</w:t>
      </w:r>
      <w:r>
        <w:t xml:space="preserve"> </w:t>
      </w:r>
      <w:r>
        <w:rPr>
          <w:iCs/>
          <w:i/>
        </w:rPr>
        <w:t xml:space="preserve">c̅o(n)s̅(ule) Istiliconis</w:t>
      </w:r>
      <w:r>
        <w:t xml:space="preserve"> </w:t>
      </w:r>
      <w:r>
        <w:t xml:space="preserve">(EDB).</w:t>
      </w:r>
    </w:p>
    <w:p>
      <w:pPr>
        <w:numPr>
          <w:ilvl w:val="0"/>
          <w:numId w:val="1011"/>
        </w:numPr>
        <w:pStyle w:val="Compact"/>
      </w:pPr>
      <w:r>
        <w:rPr>
          <w:bCs/>
          <w:b/>
        </w:rPr>
        <w:t xml:space="preserve">Conclusion.</w:t>
      </w:r>
      <w:r>
        <w:t xml:space="preserve"> </w:t>
      </w:r>
      <w:r>
        <w:t xml:space="preserve">Provenance</w:t>
      </w:r>
      <w:r>
        <w:t xml:space="preserve"> </w:t>
      </w:r>
      <w:r>
        <w:rPr>
          <w:bCs/>
          <w:b/>
        </w:rPr>
        <w:t xml:space="preserve">non établie</w:t>
      </w:r>
      <w:r>
        <w:t xml:space="preserve">. Le rattachement à Tibur par la tradition du CIL est</w:t>
      </w:r>
      <w:r>
        <w:t xml:space="preserve"> </w:t>
      </w:r>
      <w:r>
        <w:rPr>
          <w:bCs/>
          <w:b/>
        </w:rPr>
        <w:t xml:space="preserve">probable</w:t>
      </w:r>
      <w:r>
        <w:t xml:space="preserve"> </w:t>
      </w:r>
      <w:r>
        <w:t xml:space="preserve">mais n’a pas été vérifié sur les recueils. Correction v3 : conserver la notice, marquée « provenance incertaine (Tibur ?) », et</w:t>
      </w:r>
      <w:r>
        <w:t xml:space="preserve"> </w:t>
      </w:r>
      <w:r>
        <w:rPr>
          <w:bCs/>
          <w:b/>
        </w:rPr>
        <w:t xml:space="preserve">l’exclure</w:t>
      </w:r>
      <w:r>
        <w:t xml:space="preserve"> </w:t>
      </w:r>
      <w:r>
        <w:t xml:space="preserve">des analyses topographiques propres à Rome. Vérifier l’apparat du CIL XIV 3896 et la notice d’InscrIt IV 1, 543.</w:t>
      </w:r>
    </w:p>
    <w:bookmarkEnd w:id="32"/>
    <w:bookmarkEnd w:id="33"/>
    <w:bookmarkStart w:id="36" w:name="c.-interprétation-religieuse"/>
    <w:p>
      <w:pPr>
        <w:pStyle w:val="Heading2"/>
      </w:pPr>
      <w:r>
        <w:t xml:space="preserve">C. Interprétation religieuse</w:t>
      </w:r>
    </w:p>
    <w:bookmarkStart w:id="34" w:name="X0c2363300d0c4e2cff4124d3edfa87ed985d9f8"/>
    <w:p>
      <w:pPr>
        <w:pStyle w:val="Heading3"/>
      </w:pPr>
      <w:r>
        <w:t xml:space="preserve">A039 (en partie) — n° 38 (Privata, 352) : le «</w:t>
      </w:r>
      <w:r>
        <w:t xml:space="preserve"> </w:t>
      </w:r>
      <w:r>
        <w:rPr>
          <w:iCs/>
          <w:i/>
        </w:rPr>
        <w:t xml:space="preserve">Chr(isti)</w:t>
      </w:r>
      <w:r>
        <w:t xml:space="preserve"> </w:t>
      </w:r>
      <w:r>
        <w:t xml:space="preserve">» est un chrisme</w:t>
      </w:r>
    </w:p>
    <w:p>
      <w:pPr>
        <w:numPr>
          <w:ilvl w:val="0"/>
          <w:numId w:val="1012"/>
        </w:numPr>
        <w:pStyle w:val="Compact"/>
      </w:pPr>
      <w:r>
        <w:rPr>
          <w:bCs/>
          <w:b/>
        </w:rPr>
        <w:t xml:space="preserve">EDCS (v2.0).</w:t>
      </w:r>
      <w:r>
        <w:t xml:space="preserve"> </w:t>
      </w:r>
      <w:r>
        <w:rPr>
          <w:rStyle w:val="VerbatimChar"/>
        </w:rPr>
        <w:t xml:space="preserve">… bene merenti in pace Chr(isti) / Decentio et Paulo conss(ulibus)</w:t>
      </w:r>
      <w:r>
        <w:t xml:space="preserve">. Référence : ICUR II 4241 = ILCV 3252a (em).</w:t>
      </w:r>
    </w:p>
    <w:p>
      <w:pPr>
        <w:numPr>
          <w:ilvl w:val="0"/>
          <w:numId w:val="1012"/>
        </w:numPr>
        <w:pStyle w:val="Compact"/>
      </w:pPr>
      <w:r>
        <w:rPr>
          <w:bCs/>
          <w:b/>
        </w:rPr>
        <w:t xml:space="preserve">EDB17657 = ICVR 4241.</w:t>
      </w:r>
      <w:r>
        <w:t xml:space="preserve"> </w:t>
      </w:r>
      <w:r>
        <w:rPr>
          <w:rStyle w:val="VerbatimChar"/>
        </w:rPr>
        <w:t xml:space="preserve">Privata que vixit annis LIII mesis / VIII dies II deposita est IIII nonas / febr(uarias) benemerenti in pace ((monogramma Christi)) / Decentio et Paulo conss(ulibus)</w:t>
      </w:r>
      <w:r>
        <w:t xml:space="preserve">. Provenance :</w:t>
      </w:r>
      <w:r>
        <w:t xml:space="preserve"> </w:t>
      </w:r>
      <w:r>
        <w:rPr>
          <w:iCs/>
          <w:i/>
        </w:rPr>
        <w:t xml:space="preserve">Coem. sub divo apud basilicam S. Petri apostoli</w:t>
      </w:r>
      <w:r>
        <w:t xml:space="preserve"> </w:t>
      </w:r>
      <w:r>
        <w:t xml:space="preserve">; conservation : Musei Vaticani, Lapidario Cristiano ; date 352.</w:t>
      </w:r>
    </w:p>
    <w:p>
      <w:pPr>
        <w:numPr>
          <w:ilvl w:val="0"/>
          <w:numId w:val="1012"/>
        </w:numPr>
        <w:pStyle w:val="Compact"/>
      </w:pPr>
      <w:r>
        <w:rPr>
          <w:bCs/>
          <w:b/>
        </w:rPr>
        <w:t xml:space="preserve">Conclusion (certitude : très probable).</w:t>
      </w:r>
      <w:r>
        <w:t xml:space="preserve"> </w:t>
      </w:r>
      <w:r>
        <w:t xml:space="preserve">Le</w:t>
      </w:r>
      <w:r>
        <w:t xml:space="preserve"> </w:t>
      </w:r>
      <w:r>
        <w:rPr>
          <w:iCs/>
          <w:i/>
        </w:rPr>
        <w:t xml:space="preserve">Chr(isti)</w:t>
      </w:r>
      <w:r>
        <w:t xml:space="preserve"> </w:t>
      </w:r>
      <w:r>
        <w:t xml:space="preserve">de l’EDCS est la</w:t>
      </w:r>
      <w:r>
        <w:t xml:space="preserve"> </w:t>
      </w:r>
      <w:r>
        <w:rPr>
          <w:bCs/>
          <w:b/>
        </w:rPr>
        <w:t xml:space="preserve">transcription développée d’un monogramme du Christ</w:t>
      </w:r>
      <w:r>
        <w:t xml:space="preserve"> </w:t>
      </w:r>
      <w:r>
        <w:t xml:space="preserve">placé après</w:t>
      </w:r>
      <w:r>
        <w:t xml:space="preserve"> </w:t>
      </w:r>
      <w:r>
        <w:rPr>
          <w:iCs/>
          <w:i/>
        </w:rPr>
        <w:t xml:space="preserve">in pace</w:t>
      </w:r>
      <w:r>
        <w:t xml:space="preserve">. Ce n’est pas le mot</w:t>
      </w:r>
      <w:r>
        <w:t xml:space="preserve"> </w:t>
      </w:r>
      <w:r>
        <w:rPr>
          <w:iCs/>
          <w:i/>
        </w:rPr>
        <w:t xml:space="preserve">Christi</w:t>
      </w:r>
      <w:r>
        <w:t xml:space="preserve"> </w:t>
      </w:r>
      <w:r>
        <w:t xml:space="preserve">gravé. L’inscription porte un</w:t>
      </w:r>
      <w:r>
        <w:t xml:space="preserve"> </w:t>
      </w:r>
      <w:r>
        <w:rPr>
          <w:bCs/>
          <w:b/>
        </w:rPr>
        <w:t xml:space="preserve">signe chrétien</w:t>
      </w:r>
      <w:r>
        <w:t xml:space="preserve"> </w:t>
      </w:r>
      <w:r>
        <w:t xml:space="preserve">; elle ne contient</w:t>
      </w:r>
      <w:r>
        <w:t xml:space="preserve"> </w:t>
      </w:r>
      <w:r>
        <w:rPr>
          <w:bCs/>
          <w:b/>
        </w:rPr>
        <w:t xml:space="preserve">aucune désignation verbale</w:t>
      </w:r>
      <w:r>
        <w:t xml:space="preserve"> </w:t>
      </w:r>
      <w:r>
        <w:t xml:space="preserve">de Dieu ou du Christ. La traduction « en paix du Christ » de la v2.0 est à corriger en « en paix ✝ (chrisme) ».</w:t>
      </w:r>
    </w:p>
    <w:p>
      <w:pPr>
        <w:numPr>
          <w:ilvl w:val="0"/>
          <w:numId w:val="1012"/>
        </w:numPr>
        <w:pStyle w:val="Compact"/>
      </w:pPr>
      <w:r>
        <w:rPr>
          <w:bCs/>
          <w:b/>
        </w:rPr>
        <w:t xml:space="preserve">Correction v3.</w:t>
      </w:r>
      <w:r>
        <w:t xml:space="preserve"> </w:t>
      </w:r>
      <w:r>
        <w:t xml:space="preserve">Créer pour le vocabulaire religieux une catégorie distincte, « signe christique (chrisme, croix) », hors des niveaux textuels 1 à 6. Coder le n° 38 dans cette catégorie et non comme désignation gravée.</w:t>
      </w:r>
    </w:p>
    <w:bookmarkEnd w:id="34"/>
    <w:bookmarkStart w:id="35" w:name="X1b1a76bb71ee5f06e4950e547107b2d590bcd9b"/>
    <w:p>
      <w:pPr>
        <w:pStyle w:val="Heading3"/>
      </w:pPr>
      <w:r>
        <w:t xml:space="preserve">n° 474 (Quintilianus,</w:t>
      </w:r>
      <w:r>
        <w:t xml:space="preserve"> </w:t>
      </w:r>
      <w:r>
        <w:rPr>
          <w:iCs/>
          <w:i/>
        </w:rPr>
        <w:t xml:space="preserve">homo dei … confirmans trinitatem</w:t>
      </w:r>
      <w:r>
        <w:t xml:space="preserve">, 403)</w:t>
      </w:r>
    </w:p>
    <w:p>
      <w:pPr>
        <w:numPr>
          <w:ilvl w:val="0"/>
          <w:numId w:val="1013"/>
        </w:numPr>
        <w:pStyle w:val="Compact"/>
      </w:pPr>
      <w:r>
        <w:rPr>
          <w:bCs/>
          <w:b/>
        </w:rPr>
        <w:t xml:space="preserve">EDCS (v2.0).</w:t>
      </w:r>
      <w:r>
        <w:t xml:space="preserve"> </w:t>
      </w:r>
      <w:r>
        <w:t xml:space="preserve">ICUR I 3221 = ICUR II 4242 = ILCV 1605.</w:t>
      </w:r>
    </w:p>
    <w:p>
      <w:pPr>
        <w:numPr>
          <w:ilvl w:val="0"/>
          <w:numId w:val="1013"/>
        </w:numPr>
        <w:pStyle w:val="Compact"/>
      </w:pPr>
      <w:r>
        <w:rPr>
          <w:bCs/>
          <w:b/>
        </w:rPr>
        <w:t xml:space="preserve">EDB35329 = ICVR 3221.</w:t>
      </w:r>
      <w:r>
        <w:t xml:space="preserve"> </w:t>
      </w:r>
      <w:r>
        <w:t xml:space="preserve">La bibliographie EDB renvoie à « ICVR II, 4242 », ce qui confirme la double numérotation. Provenance :</w:t>
      </w:r>
      <w:r>
        <w:t xml:space="preserve"> </w:t>
      </w:r>
      <w:r>
        <w:rPr>
          <w:iCs/>
          <w:i/>
        </w:rPr>
        <w:t xml:space="preserve">Coem. sub divo apud basilicam S. Petri apostoli</w:t>
      </w:r>
      <w:r>
        <w:t xml:space="preserve"> </w:t>
      </w:r>
      <w:r>
        <w:t xml:space="preserve">; date 403.</w:t>
      </w:r>
    </w:p>
    <w:p>
      <w:pPr>
        <w:numPr>
          <w:ilvl w:val="0"/>
          <w:numId w:val="1013"/>
        </w:numPr>
        <w:pStyle w:val="Compact"/>
      </w:pPr>
      <w:r>
        <w:rPr>
          <w:bCs/>
          <w:b/>
        </w:rPr>
        <w:t xml:space="preserve">Texte (EDB = EDCS, identité complète).</w:t>
      </w:r>
      <w:r>
        <w:t xml:space="preserve"> </w:t>
      </w:r>
      <w:r>
        <w:rPr>
          <w:rStyle w:val="VerbatimChar"/>
        </w:rPr>
        <w:t xml:space="preserve">Quintilianus homo dei [---] / confirmans trinitatem [---] / amans castitatem [---] / respuens mundum [---] / requiescet una cum [---] / qui vixit ann(os) p(lus) m(inus) X[---] / Theodosio Aug(usto) et R[umorido v(iro) c(larissimo) conss(ulibus)]</w:t>
      </w:r>
      <w:r>
        <w:t xml:space="preserve">.</w:t>
      </w:r>
    </w:p>
    <w:p>
      <w:pPr>
        <w:numPr>
          <w:ilvl w:val="0"/>
          <w:numId w:val="1013"/>
        </w:numPr>
        <w:pStyle w:val="Compact"/>
      </w:pPr>
      <w:r>
        <w:rPr>
          <w:bCs/>
          <w:b/>
        </w:rPr>
        <w:t xml:space="preserve">Établi.</w:t>
      </w:r>
    </w:p>
    <w:p>
      <w:pPr>
        <w:numPr>
          <w:ilvl w:val="1"/>
          <w:numId w:val="1014"/>
        </w:numPr>
        <w:pStyle w:val="Compact"/>
      </w:pPr>
      <w:r>
        <w:rPr>
          <w:iCs/>
          <w:i/>
        </w:rPr>
        <w:t xml:space="preserve">homo dei</w:t>
      </w:r>
      <w:r>
        <w:t xml:space="preserve">,</w:t>
      </w:r>
      <w:r>
        <w:t xml:space="preserve"> </w:t>
      </w:r>
      <w:r>
        <w:rPr>
          <w:iCs/>
          <w:i/>
        </w:rPr>
        <w:t xml:space="preserve">confirmans trinitatem</w:t>
      </w:r>
      <w:r>
        <w:t xml:space="preserve">,</w:t>
      </w:r>
      <w:r>
        <w:t xml:space="preserve"> </w:t>
      </w:r>
      <w:r>
        <w:rPr>
          <w:iCs/>
          <w:i/>
        </w:rPr>
        <w:t xml:space="preserve">amans castitatem</w:t>
      </w:r>
      <w:r>
        <w:t xml:space="preserve"> </w:t>
      </w:r>
      <w:r>
        <w:t xml:space="preserve">et</w:t>
      </w:r>
      <w:r>
        <w:t xml:space="preserve"> </w:t>
      </w:r>
      <w:r>
        <w:rPr>
          <w:iCs/>
          <w:i/>
        </w:rPr>
        <w:t xml:space="preserve">respuens mundum</w:t>
      </w:r>
      <w:r>
        <w:t xml:space="preserve"> </w:t>
      </w:r>
      <w:r>
        <w:t xml:space="preserve">sont</w:t>
      </w:r>
      <w:r>
        <w:t xml:space="preserve"> </w:t>
      </w:r>
      <w:r>
        <w:rPr>
          <w:bCs/>
          <w:b/>
        </w:rPr>
        <w:t xml:space="preserve">lus</w:t>
      </w:r>
      <w:r>
        <w:t xml:space="preserve">, non restitués. Les deux bases s’accordent.</w:t>
      </w:r>
    </w:p>
    <w:p>
      <w:pPr>
        <w:numPr>
          <w:ilvl w:val="1"/>
          <w:numId w:val="1014"/>
        </w:numPr>
        <w:pStyle w:val="Compact"/>
      </w:pPr>
      <w:r>
        <w:t xml:space="preserve">Chaque ligne est</w:t>
      </w:r>
      <w:r>
        <w:t xml:space="preserve"> </w:t>
      </w:r>
      <w:r>
        <w:rPr>
          <w:bCs/>
          <w:b/>
        </w:rPr>
        <w:t xml:space="preserve">mutilée à droite</w:t>
      </w:r>
      <w:r>
        <w:t xml:space="preserve"> </w:t>
      </w:r>
      <w:r>
        <w:t xml:space="preserve">: on ignore ce qui suivait (</w:t>
      </w:r>
      <w:r>
        <w:rPr>
          <w:iCs/>
          <w:i/>
        </w:rPr>
        <w:t xml:space="preserve">confirmans trinitatem</w:t>
      </w:r>
      <w:r>
        <w:t xml:space="preserve"> </w:t>
      </w:r>
      <w:r>
        <w:t xml:space="preserve">[— ?]). L’analyse syntaxique doit rester ouverte.</w:t>
      </w:r>
    </w:p>
    <w:p>
      <w:pPr>
        <w:numPr>
          <w:ilvl w:val="1"/>
          <w:numId w:val="1014"/>
        </w:numPr>
        <w:pStyle w:val="Compact"/>
      </w:pPr>
      <w:r>
        <w:t xml:space="preserve">La date de 403 repose sur</w:t>
      </w:r>
      <w:r>
        <w:t xml:space="preserve"> </w:t>
      </w:r>
      <w:r>
        <w:rPr>
          <w:iCs/>
          <w:i/>
        </w:rPr>
        <w:t xml:space="preserve">Theodosio Aug.</w:t>
      </w:r>
      <w:r>
        <w:t xml:space="preserve"> </w:t>
      </w:r>
      <w:r>
        <w:t xml:space="preserve">(lu) et sur l’initiale</w:t>
      </w:r>
      <w:r>
        <w:t xml:space="preserve"> </w:t>
      </w:r>
      <w:r>
        <w:rPr>
          <w:iCs/>
          <w:i/>
        </w:rPr>
        <w:t xml:space="preserve">R</w:t>
      </w:r>
      <w:r>
        <w:t xml:space="preserve"> </w:t>
      </w:r>
      <w:r>
        <w:t xml:space="preserve">(lue), complétée en</w:t>
      </w:r>
      <w:r>
        <w:t xml:space="preserve"> </w:t>
      </w:r>
      <w:r>
        <w:rPr>
          <w:iCs/>
          <w:i/>
        </w:rPr>
        <w:t xml:space="preserve">R[umorido]</w:t>
      </w:r>
      <w:r>
        <w:t xml:space="preserve">. Dans les années 340–403, aucun consulat d’un Théodose Auguste n’est associé à un collègue en R- autre que Rumoridus (403). Ce raisonnement reste à</w:t>
      </w:r>
      <w:r>
        <w:t xml:space="preserve"> </w:t>
      </w:r>
      <w:r>
        <w:rPr>
          <w:bCs/>
          <w:b/>
        </w:rPr>
        <w:t xml:space="preserve">contrôler sur CLRE</w:t>
      </w:r>
      <w:r>
        <w:t xml:space="preserve">, qui n’a pas été consulté.</w:t>
      </w:r>
    </w:p>
    <w:p>
      <w:pPr>
        <w:numPr>
          <w:ilvl w:val="0"/>
          <w:numId w:val="1013"/>
        </w:numPr>
        <w:pStyle w:val="Compact"/>
      </w:pPr>
      <w:r>
        <w:rPr>
          <w:bCs/>
          <w:b/>
        </w:rPr>
        <w:t xml:space="preserve">Interprétation (hypothèse, à présenter comme telle).</w:t>
      </w:r>
      <w:r>
        <w:t xml:space="preserve"> </w:t>
      </w:r>
      <w:r>
        <w:t xml:space="preserve">La formule</w:t>
      </w:r>
      <w:r>
        <w:t xml:space="preserve"> </w:t>
      </w:r>
      <w:r>
        <w:rPr>
          <w:iCs/>
          <w:i/>
        </w:rPr>
        <w:t xml:space="preserve">confirmans trinitatem</w:t>
      </w:r>
      <w:r>
        <w:t xml:space="preserve"> </w:t>
      </w:r>
      <w:r>
        <w:t xml:space="preserve">est une profession trinitaire explicite. Y lire une affirmation</w:t>
      </w:r>
      <w:r>
        <w:t xml:space="preserve"> </w:t>
      </w:r>
      <w:r>
        <w:rPr>
          <w:bCs/>
          <w:b/>
        </w:rPr>
        <w:t xml:space="preserve">nicéenne ou anti-arienne</w:t>
      </w:r>
      <w:r>
        <w:t xml:space="preserve"> </w:t>
      </w:r>
      <w:r>
        <w:t xml:space="preserve">relève de l’interprétation historique : c’est plausible dans la Rome de 403, mais le texte seul ne le démontre pas. La v3 doit séparer la lecture (certaine dans les deux bases), la portée dogmatique (hypothèse) et les parallèles (à rechercher dans ILCV 1605 et la littérature citée par l’ICVR).</w:t>
      </w:r>
    </w:p>
    <w:p>
      <w:pPr>
        <w:numPr>
          <w:ilvl w:val="0"/>
          <w:numId w:val="1013"/>
        </w:numPr>
        <w:pStyle w:val="Compact"/>
      </w:pPr>
      <w:r>
        <w:rPr>
          <w:bCs/>
          <w:b/>
        </w:rPr>
        <w:t xml:space="preserve">Âge.</w:t>
      </w:r>
      <w:r>
        <w:t xml:space="preserve"> </w:t>
      </w:r>
      <w:r>
        <w:rPr>
          <w:iCs/>
          <w:i/>
        </w:rPr>
        <w:t xml:space="preserve">X[—]</w:t>
      </w:r>
      <w:r>
        <w:t xml:space="preserve"> </w:t>
      </w:r>
      <w:r>
        <w:t xml:space="preserve">: au moins 10 ans, valeur exacte perdue. Aucune hypothèse sur l’âge adulte ne doit être tirée de</w:t>
      </w:r>
      <w:r>
        <w:t xml:space="preserve"> </w:t>
      </w:r>
      <w:r>
        <w:rPr>
          <w:iCs/>
          <w:i/>
        </w:rPr>
        <w:t xml:space="preserve">amans castitatem</w:t>
      </w:r>
      <w:r>
        <w:t xml:space="preserve">.</w:t>
      </w:r>
    </w:p>
    <w:bookmarkEnd w:id="35"/>
    <w:bookmarkEnd w:id="36"/>
    <w:bookmarkStart w:id="39" w:name="d.-datations"/>
    <w:p>
      <w:pPr>
        <w:pStyle w:val="Heading2"/>
      </w:pPr>
      <w:r>
        <w:t xml:space="preserve">D. Datations</w:t>
      </w:r>
    </w:p>
    <w:bookmarkStart w:id="37" w:name="Xf056b5ab504d31d887c063605cf064c6e392f8f"/>
    <w:p>
      <w:pPr>
        <w:pStyle w:val="Heading3"/>
      </w:pPr>
      <w:r>
        <w:t xml:space="preserve">A016 — notices « sans élément consulaire » : le texte EDCS est incomplet</w:t>
      </w:r>
    </w:p>
    <w:p>
      <w:pPr>
        <w:pStyle w:val="FirstParagraph"/>
      </w:pPr>
      <w:r>
        <w:t xml:space="preserve">Pour 16 notices, la v2.0 n’avait trouvé aucun consulat lisible et retenait l’année de la base. La collation montre que</w:t>
      </w:r>
      <w:r>
        <w:t xml:space="preserve"> </w:t>
      </w:r>
      <w:r>
        <w:rPr>
          <w:bCs/>
          <w:b/>
        </w:rPr>
        <w:t xml:space="preserve">le texte EDCS de la v2.0 est souvent incomplet</w:t>
      </w:r>
      <w:r>
        <w:t xml:space="preserve">, alors que l’EDB transmet la formule consulaire :</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w:t>
            </w:r>
          </w:p>
        </w:tc>
        <w:tc>
          <w:tcPr/>
          <w:p>
            <w:pPr>
              <w:pStyle w:val="Compact"/>
              <w:jc w:val="left"/>
            </w:pPr>
            <w:r>
              <w:t xml:space="preserve">EDB</w:t>
            </w:r>
          </w:p>
        </w:tc>
        <w:tc>
          <w:tcPr/>
          <w:p>
            <w:pPr>
              <w:pStyle w:val="Compact"/>
              <w:jc w:val="left"/>
            </w:pPr>
            <w:r>
              <w:t xml:space="preserve">formule consulaire transmise par l’EDB (absente du texte EDCS de la v2.0)</w:t>
            </w:r>
          </w:p>
        </w:tc>
        <w:tc>
          <w:tcPr/>
          <w:p>
            <w:pPr>
              <w:pStyle w:val="Compact"/>
              <w:jc w:val="left"/>
            </w:pPr>
            <w:r>
              <w:t xml:space="preserve">année</w:t>
            </w:r>
          </w:p>
        </w:tc>
        <w:tc>
          <w:tcPr/>
          <w:p>
            <w:pPr>
              <w:pStyle w:val="Compact"/>
              <w:jc w:val="left"/>
            </w:pPr>
            <w:r>
              <w:t xml:space="preserve">statut de la formule</w:t>
            </w:r>
          </w:p>
        </w:tc>
      </w:tr>
      <w:tr>
        <w:tc>
          <w:tcPr/>
          <w:p>
            <w:pPr>
              <w:pStyle w:val="Compact"/>
              <w:jc w:val="left"/>
            </w:pPr>
            <w:r>
              <w:t xml:space="preserve">51</w:t>
            </w:r>
          </w:p>
        </w:tc>
        <w:tc>
          <w:tcPr/>
          <w:p>
            <w:pPr>
              <w:pStyle w:val="Compact"/>
              <w:jc w:val="left"/>
            </w:pPr>
            <w:r>
              <w:t xml:space="preserve">EDB31763</w:t>
            </w:r>
          </w:p>
        </w:tc>
        <w:tc>
          <w:tcPr/>
          <w:p>
            <w:pPr>
              <w:pStyle w:val="Compact"/>
              <w:jc w:val="left"/>
            </w:pPr>
            <w:r>
              <w:rPr>
                <w:rStyle w:val="VerbatimChar"/>
              </w:rPr>
              <w:t xml:space="preserve">[--- Datiano et C]aereale [consulibus? ---]</w:t>
            </w:r>
          </w:p>
        </w:tc>
        <w:tc>
          <w:tcPr/>
          <w:p>
            <w:pPr>
              <w:pStyle w:val="Compact"/>
              <w:jc w:val="left"/>
            </w:pPr>
            <w:r>
              <w:t xml:space="preserve">358</w:t>
            </w:r>
          </w:p>
        </w:tc>
        <w:tc>
          <w:tcPr/>
          <w:p>
            <w:pPr>
              <w:pStyle w:val="Compact"/>
              <w:jc w:val="left"/>
            </w:pPr>
            <w:r>
              <w:t xml:space="preserve">partiellement restituée (</w:t>
            </w:r>
            <w:r>
              <w:rPr>
                <w:iCs/>
                <w:i/>
              </w:rPr>
              <w:t xml:space="preserve">…aereale</w:t>
            </w:r>
            <w:r>
              <w:t xml:space="preserve"> </w:t>
            </w:r>
            <w:r>
              <w:t xml:space="preserve">lu)</w:t>
            </w:r>
          </w:p>
        </w:tc>
      </w:tr>
      <w:tr>
        <w:tc>
          <w:tcPr/>
          <w:p>
            <w:pPr>
              <w:pStyle w:val="Compact"/>
              <w:jc w:val="left"/>
            </w:pPr>
            <w:r>
              <w:t xml:space="preserve">84</w:t>
            </w:r>
          </w:p>
        </w:tc>
        <w:tc>
          <w:tcPr/>
          <w:p>
            <w:pPr>
              <w:pStyle w:val="Compact"/>
              <w:jc w:val="left"/>
            </w:pPr>
            <w:r>
              <w:t xml:space="preserve">EDB32048</w:t>
            </w:r>
          </w:p>
        </w:tc>
        <w:tc>
          <w:tcPr/>
          <w:p>
            <w:pPr>
              <w:pStyle w:val="Compact"/>
              <w:jc w:val="left"/>
            </w:pPr>
            <w:r>
              <w:rPr>
                <w:rStyle w:val="VerbatimChar"/>
              </w:rPr>
              <w:t xml:space="preserve">[di]v̲o Ioviano et Fl(avio) Barronian`o c(on)s(ule)´</w:t>
            </w:r>
          </w:p>
        </w:tc>
        <w:tc>
          <w:tcPr/>
          <w:p>
            <w:pPr>
              <w:pStyle w:val="Compact"/>
              <w:jc w:val="left"/>
            </w:pPr>
            <w:r>
              <w:t xml:space="preserve">364</w:t>
            </w:r>
          </w:p>
        </w:tc>
        <w:tc>
          <w:tcPr/>
          <w:p>
            <w:pPr>
              <w:pStyle w:val="Compact"/>
              <w:jc w:val="left"/>
            </w:pPr>
            <w:r>
              <w:t xml:space="preserve">lue (lettres soulignées = vues par un éditeur antérieur)</w:t>
            </w:r>
          </w:p>
        </w:tc>
      </w:tr>
      <w:tr>
        <w:tc>
          <w:tcPr/>
          <w:p>
            <w:pPr>
              <w:pStyle w:val="Compact"/>
              <w:jc w:val="left"/>
            </w:pPr>
            <w:r>
              <w:t xml:space="preserve">180</w:t>
            </w:r>
          </w:p>
        </w:tc>
        <w:tc>
          <w:tcPr/>
          <w:p>
            <w:pPr>
              <w:pStyle w:val="Compact"/>
              <w:jc w:val="left"/>
            </w:pPr>
            <w:r>
              <w:t xml:space="preserve">EDB31761</w:t>
            </w:r>
          </w:p>
        </w:tc>
        <w:tc>
          <w:tcPr/>
          <w:p>
            <w:pPr>
              <w:pStyle w:val="Compact"/>
              <w:jc w:val="left"/>
            </w:pPr>
            <w:r>
              <w:rPr>
                <w:rStyle w:val="VerbatimChar"/>
              </w:rPr>
              <w:t xml:space="preserve">dec(em)b(r--) post c[onsulatum ---] / [--- et] Fl(avii) Aequ[itii ---]</w:t>
            </w:r>
          </w:p>
        </w:tc>
        <w:tc>
          <w:tcPr/>
          <w:p>
            <w:pPr>
              <w:pStyle w:val="Compact"/>
              <w:jc w:val="left"/>
            </w:pPr>
            <w:r>
              <w:t xml:space="preserve">375 (p.c. 374)</w:t>
            </w:r>
          </w:p>
        </w:tc>
        <w:tc>
          <w:tcPr/>
          <w:p>
            <w:pPr>
              <w:pStyle w:val="Compact"/>
              <w:jc w:val="left"/>
            </w:pPr>
            <w:r>
              <w:t xml:space="preserve">partiellement restituée</w:t>
            </w:r>
          </w:p>
        </w:tc>
      </w:tr>
      <w:tr>
        <w:tc>
          <w:tcPr/>
          <w:p>
            <w:pPr>
              <w:pStyle w:val="Compact"/>
              <w:jc w:val="left"/>
            </w:pPr>
            <w:r>
              <w:t xml:space="preserve">214</w:t>
            </w:r>
          </w:p>
        </w:tc>
        <w:tc>
          <w:tcPr/>
          <w:p>
            <w:pPr>
              <w:pStyle w:val="Compact"/>
              <w:jc w:val="left"/>
            </w:pPr>
            <w:r>
              <w:t xml:space="preserve">EDB33145</w:t>
            </w:r>
          </w:p>
        </w:tc>
        <w:tc>
          <w:tcPr/>
          <w:p>
            <w:pPr>
              <w:pStyle w:val="Compact"/>
              <w:jc w:val="left"/>
            </w:pPr>
            <w:r>
              <w:rPr>
                <w:rStyle w:val="VerbatimChar"/>
              </w:rPr>
              <w:t xml:space="preserve">… Cucurbitinus et Abu⌜nd⌝antius hic ⌜s⌝imul quiescit / dd(ominis) nn(ostris) Gratiano V et Teodosio aaugg(ustis)</w:t>
            </w:r>
          </w:p>
        </w:tc>
        <w:tc>
          <w:tcPr/>
          <w:p>
            <w:pPr>
              <w:pStyle w:val="Compact"/>
              <w:jc w:val="left"/>
            </w:pPr>
            <w:r>
              <w:t xml:space="preserve">380</w:t>
            </w:r>
          </w:p>
        </w:tc>
        <w:tc>
          <w:tcPr/>
          <w:p>
            <w:pPr>
              <w:pStyle w:val="Compact"/>
              <w:jc w:val="left"/>
            </w:pPr>
            <w:r>
              <w:t xml:space="preserve">lue ;</w:t>
            </w:r>
            <w:r>
              <w:t xml:space="preserve"> </w:t>
            </w:r>
            <w:r>
              <w:rPr>
                <w:bCs/>
                <w:b/>
              </w:rPr>
              <w:t xml:space="preserve">le texte EDCS s’arrête 3 lignes plus tôt</w:t>
            </w:r>
          </w:p>
        </w:tc>
      </w:tr>
      <w:tr>
        <w:tc>
          <w:tcPr/>
          <w:p>
            <w:pPr>
              <w:pStyle w:val="Compact"/>
              <w:jc w:val="left"/>
            </w:pPr>
            <w:r>
              <w:t xml:space="preserve">268</w:t>
            </w:r>
          </w:p>
        </w:tc>
        <w:tc>
          <w:tcPr/>
          <w:p>
            <w:pPr>
              <w:pStyle w:val="Compact"/>
              <w:jc w:val="left"/>
            </w:pPr>
            <w:r>
              <w:t xml:space="preserve">EDB32083</w:t>
            </w:r>
          </w:p>
        </w:tc>
        <w:tc>
          <w:tcPr/>
          <w:p>
            <w:pPr>
              <w:pStyle w:val="Compact"/>
              <w:jc w:val="left"/>
            </w:pPr>
            <w:r>
              <w:rPr>
                <w:rStyle w:val="VerbatimChar"/>
              </w:rPr>
              <w:t xml:space="preserve">VII k(alendas) iul(ias) Ricomere et Clearcho cons(ulibu)s</w:t>
            </w:r>
          </w:p>
        </w:tc>
        <w:tc>
          <w:tcPr/>
          <w:p>
            <w:pPr>
              <w:pStyle w:val="Compact"/>
              <w:jc w:val="left"/>
            </w:pPr>
            <w:r>
              <w:t xml:space="preserve">384</w:t>
            </w:r>
          </w:p>
        </w:tc>
        <w:tc>
          <w:tcPr/>
          <w:p>
            <w:pPr>
              <w:pStyle w:val="Compact"/>
              <w:jc w:val="left"/>
            </w:pPr>
            <w:r>
              <w:t xml:space="preserve">lue</w:t>
            </w:r>
          </w:p>
        </w:tc>
      </w:tr>
      <w:tr>
        <w:tc>
          <w:tcPr/>
          <w:p>
            <w:pPr>
              <w:pStyle w:val="Compact"/>
              <w:jc w:val="left"/>
            </w:pPr>
            <w:r>
              <w:t xml:space="preserve">388</w:t>
            </w:r>
          </w:p>
        </w:tc>
        <w:tc>
          <w:tcPr/>
          <w:p>
            <w:pPr>
              <w:pStyle w:val="Compact"/>
              <w:jc w:val="left"/>
            </w:pPr>
            <w:r>
              <w:t xml:space="preserve">EDB31239</w:t>
            </w:r>
          </w:p>
        </w:tc>
        <w:tc>
          <w:tcPr/>
          <w:p>
            <w:pPr>
              <w:pStyle w:val="Compact"/>
              <w:jc w:val="left"/>
            </w:pPr>
            <w:r>
              <w:rPr>
                <w:rStyle w:val="VerbatimChar"/>
              </w:rPr>
              <w:t xml:space="preserve">dd(ominis) n̅n(ostris) / Arcadio Au̅g(usto) quater et Hono/rio Au̅g(usto) ter consulibus</w:t>
            </w:r>
          </w:p>
        </w:tc>
        <w:tc>
          <w:tcPr/>
          <w:p>
            <w:pPr>
              <w:pStyle w:val="Compact"/>
              <w:jc w:val="left"/>
            </w:pPr>
            <w:r>
              <w:t xml:space="preserve">396</w:t>
            </w:r>
          </w:p>
        </w:tc>
        <w:tc>
          <w:tcPr/>
          <w:p>
            <w:pPr>
              <w:pStyle w:val="Compact"/>
              <w:jc w:val="left"/>
            </w:pPr>
            <w:r>
              <w:t xml:space="preserve">lue</w:t>
            </w:r>
          </w:p>
        </w:tc>
      </w:tr>
      <w:tr>
        <w:tc>
          <w:tcPr/>
          <w:p>
            <w:pPr>
              <w:pStyle w:val="Compact"/>
              <w:jc w:val="left"/>
            </w:pPr>
            <w:r>
              <w:t xml:space="preserve">435</w:t>
            </w:r>
          </w:p>
        </w:tc>
        <w:tc>
          <w:tcPr/>
          <w:p>
            <w:pPr>
              <w:pStyle w:val="Compact"/>
              <w:jc w:val="left"/>
            </w:pPr>
            <w:r>
              <w:t xml:space="preserve">EDB22306</w:t>
            </w:r>
          </w:p>
        </w:tc>
        <w:tc>
          <w:tcPr/>
          <w:p>
            <w:pPr>
              <w:pStyle w:val="Compact"/>
              <w:jc w:val="left"/>
            </w:pPr>
            <w:r>
              <w:rPr>
                <w:rStyle w:val="VerbatimChar"/>
              </w:rPr>
              <w:t xml:space="preserve">[--- Mallio Theodo]ro v(iro) c(larissimo) c[onsule ---]</w:t>
            </w:r>
          </w:p>
        </w:tc>
        <w:tc>
          <w:tcPr/>
          <w:p>
            <w:pPr>
              <w:pStyle w:val="Compact"/>
              <w:jc w:val="left"/>
            </w:pPr>
            <w:r>
              <w:t xml:space="preserve">399</w:t>
            </w:r>
          </w:p>
        </w:tc>
        <w:tc>
          <w:tcPr/>
          <w:p>
            <w:pPr>
              <w:pStyle w:val="Compact"/>
              <w:jc w:val="left"/>
            </w:pPr>
            <w:r>
              <w:t xml:space="preserve">restitution éditoriale (seul</w:t>
            </w:r>
            <w:r>
              <w:t xml:space="preserve"> </w:t>
            </w:r>
            <w:r>
              <w:rPr>
                <w:iCs/>
                <w:i/>
              </w:rPr>
              <w:t xml:space="preserve">…ro v.c.</w:t>
            </w:r>
            <w:r>
              <w:t xml:space="preserve"> </w:t>
            </w:r>
            <w:r>
              <w:t xml:space="preserve">lu)</w:t>
            </w:r>
          </w:p>
        </w:tc>
      </w:tr>
      <w:tr>
        <w:tc>
          <w:tcPr/>
          <w:p>
            <w:pPr>
              <w:pStyle w:val="Compact"/>
              <w:jc w:val="left"/>
            </w:pPr>
            <w:r>
              <w:t xml:space="preserve">445</w:t>
            </w:r>
          </w:p>
        </w:tc>
        <w:tc>
          <w:tcPr/>
          <w:p>
            <w:pPr>
              <w:pStyle w:val="Compact"/>
              <w:jc w:val="left"/>
            </w:pPr>
            <w:r>
              <w:t xml:space="preserve">EDB24690</w:t>
            </w:r>
          </w:p>
        </w:tc>
        <w:tc>
          <w:tcPr/>
          <w:p>
            <w:pPr>
              <w:pStyle w:val="Compact"/>
              <w:jc w:val="left"/>
            </w:pPr>
            <w:r>
              <w:rPr>
                <w:rStyle w:val="VerbatimChar"/>
              </w:rPr>
              <w:t xml:space="preserve">cons(ulatu) Stellici v(iri) c(larissimi) [iterum? ---]</w:t>
            </w:r>
          </w:p>
        </w:tc>
        <w:tc>
          <w:tcPr/>
          <w:p>
            <w:pPr>
              <w:pStyle w:val="Compact"/>
              <w:jc w:val="left"/>
            </w:pPr>
            <w:r>
              <w:t xml:space="preserve">400 (ou 405 si</w:t>
            </w:r>
            <w:r>
              <w:t xml:space="preserve"> </w:t>
            </w:r>
            <w:r>
              <w:rPr>
                <w:iCs/>
                <w:i/>
              </w:rPr>
              <w:t xml:space="preserve">iterum</w:t>
            </w:r>
            <w:r>
              <w:t xml:space="preserve">)</w:t>
            </w:r>
          </w:p>
        </w:tc>
        <w:tc>
          <w:tcPr/>
          <w:p>
            <w:pPr>
              <w:pStyle w:val="Compact"/>
              <w:jc w:val="left"/>
            </w:pPr>
            <w:r>
              <w:t xml:space="preserve">lue ; itération restituée</w:t>
            </w:r>
          </w:p>
        </w:tc>
      </w:tr>
      <w:tr>
        <w:tc>
          <w:tcPr/>
          <w:p>
            <w:pPr>
              <w:pStyle w:val="Compact"/>
              <w:jc w:val="left"/>
            </w:pPr>
            <w:r>
              <w:t xml:space="preserve">447</w:t>
            </w:r>
          </w:p>
        </w:tc>
        <w:tc>
          <w:tcPr/>
          <w:p>
            <w:pPr>
              <w:pStyle w:val="Compact"/>
              <w:jc w:val="left"/>
            </w:pPr>
            <w:r>
              <w:t xml:space="preserve">EDB12500</w:t>
            </w:r>
          </w:p>
        </w:tc>
        <w:tc>
          <w:tcPr/>
          <w:p>
            <w:pPr>
              <w:pStyle w:val="Compact"/>
              <w:jc w:val="left"/>
            </w:pPr>
            <w:r>
              <w:rPr>
                <w:rStyle w:val="VerbatimChar"/>
              </w:rPr>
              <w:t xml:space="preserve">[ὑπατίᾳ Βινκεντί]ου καὶ Φραβίτου</w:t>
            </w:r>
          </w:p>
        </w:tc>
        <w:tc>
          <w:tcPr/>
          <w:p>
            <w:pPr>
              <w:pStyle w:val="Compact"/>
              <w:jc w:val="left"/>
            </w:pPr>
            <w:r>
              <w:t xml:space="preserve">401</w:t>
            </w:r>
          </w:p>
        </w:tc>
        <w:tc>
          <w:tcPr/>
          <w:p>
            <w:pPr>
              <w:pStyle w:val="Compact"/>
              <w:jc w:val="left"/>
            </w:pPr>
            <w:r>
              <w:t xml:space="preserve">partiellement restituée (</w:t>
            </w:r>
            <w:r>
              <w:rPr>
                <w:iCs/>
                <w:i/>
              </w:rPr>
              <w:t xml:space="preserve">Φραβίτου</w:t>
            </w:r>
            <w:r>
              <w:t xml:space="preserve"> </w:t>
            </w:r>
            <w:r>
              <w:t xml:space="preserve">lu) ;</w:t>
            </w:r>
            <w:r>
              <w:t xml:space="preserve"> </w:t>
            </w:r>
            <w:r>
              <w:rPr>
                <w:bCs/>
                <w:b/>
              </w:rPr>
              <w:t xml:space="preserve">l’EDCS omet les cinq premières lignes du texte grec</w:t>
            </w:r>
          </w:p>
        </w:tc>
      </w:tr>
      <w:tr>
        <w:tc>
          <w:tcPr/>
          <w:p>
            <w:pPr>
              <w:pStyle w:val="Compact"/>
              <w:jc w:val="left"/>
            </w:pPr>
            <w:r>
              <w:t xml:space="preserve">457</w:t>
            </w:r>
          </w:p>
        </w:tc>
        <w:tc>
          <w:tcPr/>
          <w:p>
            <w:pPr>
              <w:pStyle w:val="Compact"/>
              <w:jc w:val="left"/>
            </w:pPr>
            <w:r>
              <w:t xml:space="preserve">EDB24691</w:t>
            </w:r>
          </w:p>
        </w:tc>
        <w:tc>
          <w:tcPr/>
          <w:p>
            <w:pPr>
              <w:pStyle w:val="Compact"/>
              <w:jc w:val="left"/>
            </w:pPr>
            <w:r>
              <w:rPr>
                <w:rStyle w:val="VerbatimChar"/>
              </w:rPr>
              <w:t xml:space="preserve">[--- Vincent]io et Ep̣[atio consulibus? ---]</w:t>
            </w:r>
            <w:r>
              <w:t xml:space="preserve"> </w:t>
            </w:r>
            <w:r>
              <w:t xml:space="preserve">(EDB date « 359 ; 401 »)</w:t>
            </w:r>
          </w:p>
        </w:tc>
        <w:tc>
          <w:tcPr/>
          <w:p>
            <w:pPr>
              <w:pStyle w:val="Compact"/>
              <w:jc w:val="left"/>
            </w:pPr>
            <w:r>
              <w:t xml:space="preserve">incertaine</w:t>
            </w:r>
          </w:p>
        </w:tc>
        <w:tc>
          <w:tcPr/>
          <w:p>
            <w:pPr>
              <w:pStyle w:val="Compact"/>
              <w:jc w:val="left"/>
            </w:pPr>
            <w:r>
              <w:t xml:space="preserve">restitution</w:t>
            </w:r>
            <w:r>
              <w:t xml:space="preserve"> </w:t>
            </w:r>
            <w:r>
              <w:rPr>
                <w:bCs/>
                <w:b/>
              </w:rPr>
              <w:t xml:space="preserve">douteuse</w:t>
            </w:r>
            <w:r>
              <w:t xml:space="preserve"> </w:t>
            </w:r>
            <w:r>
              <w:t xml:space="preserve">(cf. EDB)</w:t>
            </w:r>
          </w:p>
        </w:tc>
      </w:tr>
    </w:tbl>
    <w:p>
      <w:pPr>
        <w:pStyle w:val="BodyText"/>
      </w:pPr>
      <w:r>
        <w:t xml:space="preserve">Deux autres notices du groupe A016 reçoivent de l’EDB une</w:t>
      </w:r>
      <w:r>
        <w:t xml:space="preserve"> </w:t>
      </w:r>
      <w:r>
        <w:rPr>
          <w:bCs/>
          <w:b/>
        </w:rPr>
        <w:t xml:space="preserve">restitution consulaire conjecturale</w:t>
      </w:r>
      <w:r>
        <w:t xml:space="preserve">, sur un texte où l’EDCS ne lit aucun consul :</w:t>
      </w:r>
      <w:r>
        <w:t xml:space="preserve"> </w:t>
      </w:r>
      <w:r>
        <w:t xml:space="preserve">-</w:t>
      </w:r>
      <w:r>
        <w:t xml:space="preserve"> </w:t>
      </w:r>
      <w:r>
        <w:rPr>
          <w:bCs/>
          <w:b/>
        </w:rPr>
        <w:t xml:space="preserve">n° 123</w:t>
      </w:r>
      <w:r>
        <w:t xml:space="preserve"> </w:t>
      </w:r>
      <w:r>
        <w:t xml:space="preserve">(EDB24921 = ICVR 9344b) :</w:t>
      </w:r>
      <w:r>
        <w:t xml:space="preserve"> </w:t>
      </w:r>
      <w:r>
        <w:rPr>
          <w:rStyle w:val="VerbatimChar"/>
        </w:rPr>
        <w:t xml:space="preserve">[--- Lupicin?]o et 〈I〉ovi[no cons(ulibus?)]</w:t>
      </w:r>
      <w:r>
        <w:t xml:space="preserve"> </w:t>
      </w:r>
      <w:r>
        <w:t xml:space="preserve">(367). L’EDCS lit au même endroit</w:t>
      </w:r>
      <w:r>
        <w:t xml:space="preserve"> </w:t>
      </w:r>
      <w:r>
        <w:rPr>
          <w:rStyle w:val="VerbatimChar"/>
        </w:rPr>
        <w:t xml:space="preserve">[3]o et o&lt;b=V&gt;i[it 3]</w:t>
      </w:r>
      <w:r>
        <w:t xml:space="preserve">, c’est-à-dire</w:t>
      </w:r>
      <w:r>
        <w:t xml:space="preserve"> </w:t>
      </w:r>
      <w:r>
        <w:rPr>
          <w:iCs/>
          <w:i/>
        </w:rPr>
        <w:t xml:space="preserve">obiit</w:t>
      </w:r>
      <w:r>
        <w:t xml:space="preserve">, « mourut ». Les deux lectures sont incompatibles. Seule l’ICVR (photographie) peut trancher.</w:t>
      </w:r>
      <w:r>
        <w:t xml:space="preserve"> </w:t>
      </w:r>
      <w:r>
        <w:t xml:space="preserve">-</w:t>
      </w:r>
      <w:r>
        <w:t xml:space="preserve"> </w:t>
      </w:r>
      <w:r>
        <w:rPr>
          <w:bCs/>
          <w:b/>
        </w:rPr>
        <w:t xml:space="preserve">n° 326</w:t>
      </w:r>
      <w:r>
        <w:t xml:space="preserve"> </w:t>
      </w:r>
      <w:r>
        <w:t xml:space="preserve">(EDB24920 = ICVR 9344a) :</w:t>
      </w:r>
      <w:r>
        <w:t xml:space="preserve"> </w:t>
      </w:r>
      <w:r>
        <w:rPr>
          <w:rStyle w:val="VerbatimChar"/>
        </w:rPr>
        <w:t xml:space="preserve">[Valentiniano Aug(usto) IIII et N]eute[rio cons(ulibus)]</w:t>
      </w:r>
      <w:r>
        <w:t xml:space="preserve"> </w:t>
      </w:r>
      <w:r>
        <w:t xml:space="preserve">(390), sur la seule séquence lue</w:t>
      </w:r>
      <w:r>
        <w:t xml:space="preserve"> </w:t>
      </w:r>
      <w:r>
        <w:rPr>
          <w:iCs/>
          <w:i/>
        </w:rPr>
        <w:t xml:space="preserve">…eute…</w:t>
      </w:r>
      <w:r>
        <w:t xml:space="preserve">. C’est une restitution plausible mais fragile.</w:t>
      </w:r>
    </w:p>
    <w:p>
      <w:pPr>
        <w:numPr>
          <w:ilvl w:val="0"/>
          <w:numId w:val="1015"/>
        </w:numPr>
        <w:pStyle w:val="Compact"/>
      </w:pPr>
      <w:r>
        <w:rPr>
          <w:bCs/>
          <w:b/>
        </w:rPr>
        <w:t xml:space="preserve">Conclusion.</w:t>
      </w:r>
      <w:r>
        <w:t xml:space="preserve"> </w:t>
      </w:r>
      <w:r>
        <w:t xml:space="preserve">Huit de ces notices passent de « datation par la base » à « datation consulaire transmise par l’EDB » : 84, 214, 268, 388 (lue), 51, 180, 447 (partiellement restituée), 445 (lue, itération incertaine). Les n° 435 et 457 restent</w:t>
      </w:r>
      <w:r>
        <w:t xml:space="preserve"> </w:t>
      </w:r>
      <w:r>
        <w:rPr>
          <w:bCs/>
          <w:b/>
        </w:rPr>
        <w:t xml:space="preserve">conjecturaux</w:t>
      </w:r>
      <w:r>
        <w:t xml:space="preserve">. Le n° 36 (Clodius Adelphius,</w:t>
      </w:r>
      <w:r>
        <w:t xml:space="preserve"> </w:t>
      </w:r>
      <w:r>
        <w:rPr>
          <w:iCs/>
          <w:i/>
        </w:rPr>
        <w:t xml:space="preserve">ex praefectis urbis</w:t>
      </w:r>
      <w:r>
        <w:t xml:space="preserve"> </w:t>
      </w:r>
      <w:r>
        <w:t xml:space="preserve">; EDB : « 351 ; 354 ») reste daté par la prosopographie et non par un consulat.</w:t>
      </w:r>
    </w:p>
    <w:p>
      <w:pPr>
        <w:numPr>
          <w:ilvl w:val="0"/>
          <w:numId w:val="1015"/>
        </w:numPr>
        <w:pStyle w:val="Compact"/>
      </w:pPr>
      <w:r>
        <w:rPr>
          <w:bCs/>
          <w:b/>
        </w:rPr>
        <w:t xml:space="preserve">Portée méthodologique (majeure).</w:t>
      </w:r>
      <w:r>
        <w:t xml:space="preserve"> </w:t>
      </w:r>
      <w:r>
        <w:t xml:space="preserve">Les textes EDCS de la v2.0 sont</w:t>
      </w:r>
      <w:r>
        <w:t xml:space="preserve"> </w:t>
      </w:r>
      <w:r>
        <w:rPr>
          <w:bCs/>
          <w:b/>
        </w:rPr>
        <w:t xml:space="preserve">tronqués</w:t>
      </w:r>
      <w:r>
        <w:t xml:space="preserve"> </w:t>
      </w:r>
      <w:r>
        <w:t xml:space="preserve">pour une partie du corpus : lignes finales absentes, partie grecque omise. Il ne s’agit pas seulement de notation. Les statistiques de formulaire fondées sur ces textes (</w:t>
      </w:r>
      <w:r>
        <w:rPr>
          <w:iCs/>
          <w:i/>
        </w:rPr>
        <w:t xml:space="preserve">in pace</w:t>
      </w:r>
      <w:r>
        <w:t xml:space="preserve">, vocabulaire religieux, longueur des textes)</w:t>
      </w:r>
      <w:r>
        <w:t xml:space="preserve"> </w:t>
      </w:r>
      <w:r>
        <w:rPr>
          <w:bCs/>
          <w:b/>
        </w:rPr>
        <w:t xml:space="preserve">sous-estiment</w:t>
      </w:r>
      <w:r>
        <w:t xml:space="preserve"> </w:t>
      </w:r>
      <w:r>
        <w:t xml:space="preserve">ce qui est gravé. Un relevé automatique (</w:t>
      </w:r>
      <w:r>
        <w:rPr>
          <w:rStyle w:val="VerbatimChar"/>
        </w:rPr>
        <w:t xml:space="preserve">02_verifications/surplus_edb.csv</w:t>
      </w:r>
      <w:r>
        <w:t xml:space="preserve">) liste les mots présents dans le texte EDB et absents du texte EDCS. Il doit être revu à la main, car il confond les variantes orthographiques (</w:t>
      </w:r>
      <w:r>
        <w:rPr>
          <w:iCs/>
          <w:i/>
        </w:rPr>
        <w:t xml:space="preserve">bixit</w:t>
      </w:r>
      <w:r>
        <w:t xml:space="preserve">/</w:t>
      </w:r>
      <w:r>
        <w:rPr>
          <w:iCs/>
          <w:i/>
        </w:rPr>
        <w:t xml:space="preserve">vixit</w:t>
      </w:r>
      <w:r>
        <w:t xml:space="preserve">) avec les lignes manquantes.</w:t>
      </w:r>
    </w:p>
    <w:bookmarkEnd w:id="37"/>
    <w:bookmarkStart w:id="38" w:name="X68f14b4dddc4623b7e9021b670f763818894bdd"/>
    <w:p>
      <w:pPr>
        <w:pStyle w:val="Heading3"/>
      </w:pPr>
      <w:r>
        <w:t xml:space="preserve">Divergences de date entre l’EDB et la base v2.0 (non résolues)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w:t>
            </w:r>
          </w:p>
        </w:tc>
        <w:tc>
          <w:tcPr/>
          <w:p>
            <w:pPr>
              <w:pStyle w:val="Compact"/>
              <w:jc w:val="left"/>
            </w:pPr>
            <w:r>
              <w:t xml:space="preserve">EDB</w:t>
            </w:r>
          </w:p>
        </w:tc>
        <w:tc>
          <w:tcPr/>
          <w:p>
            <w:pPr>
              <w:pStyle w:val="Compact"/>
              <w:jc w:val="left"/>
            </w:pPr>
            <w:r>
              <w:t xml:space="preserve">texte</w:t>
            </w:r>
          </w:p>
        </w:tc>
        <w:tc>
          <w:tcPr/>
          <w:p>
            <w:pPr>
              <w:pStyle w:val="Compact"/>
              <w:jc w:val="left"/>
            </w:pPr>
            <w:r>
              <w:t xml:space="preserve">base v2.0</w:t>
            </w:r>
          </w:p>
        </w:tc>
        <w:tc>
          <w:tcPr/>
          <w:p>
            <w:pPr>
              <w:pStyle w:val="Compact"/>
              <w:jc w:val="left"/>
            </w:pPr>
            <w:r>
              <w:t xml:space="preserve">EDB</w:t>
            </w:r>
          </w:p>
        </w:tc>
        <w:tc>
          <w:tcPr/>
          <w:p>
            <w:pPr>
              <w:pStyle w:val="Compact"/>
              <w:jc w:val="left"/>
            </w:pPr>
            <w:r>
              <w:t xml:space="preserve">commentaire</w:t>
            </w:r>
          </w:p>
        </w:tc>
      </w:tr>
      <w:tr>
        <w:tc>
          <w:tcPr/>
          <w:p>
            <w:pPr>
              <w:pStyle w:val="Compact"/>
              <w:jc w:val="left"/>
            </w:pPr>
            <w:r>
              <w:t xml:space="preserve">278</w:t>
            </w:r>
          </w:p>
        </w:tc>
        <w:tc>
          <w:tcPr/>
          <w:p>
            <w:pPr>
              <w:pStyle w:val="Compact"/>
              <w:jc w:val="left"/>
            </w:pPr>
            <w:r>
              <w:t xml:space="preserve">EDB3285 (ICVR 6037)</w:t>
            </w:r>
          </w:p>
        </w:tc>
        <w:tc>
          <w:tcPr/>
          <w:p>
            <w:pPr>
              <w:pStyle w:val="Compact"/>
              <w:jc w:val="left"/>
            </w:pPr>
            <w:r>
              <w:rPr>
                <w:rStyle w:val="VerbatimChar"/>
              </w:rPr>
              <w:t xml:space="preserve">[Merob]aude II et Satur/[nin]o cons(ulibu)s</w:t>
            </w:r>
          </w:p>
        </w:tc>
        <w:tc>
          <w:tcPr/>
          <w:p>
            <w:pPr>
              <w:pStyle w:val="Compact"/>
              <w:jc w:val="left"/>
            </w:pPr>
            <w:r>
              <w:t xml:space="preserve">383</w:t>
            </w:r>
          </w:p>
        </w:tc>
        <w:tc>
          <w:tcPr/>
          <w:p>
            <w:pPr>
              <w:pStyle w:val="Compact"/>
              <w:jc w:val="left"/>
            </w:pPr>
            <w:r>
              <w:t xml:space="preserve">385</w:t>
            </w:r>
          </w:p>
        </w:tc>
        <w:tc>
          <w:tcPr/>
          <w:p>
            <w:pPr>
              <w:pStyle w:val="Compact"/>
              <w:jc w:val="left"/>
            </w:pPr>
            <w:r>
              <w:t xml:space="preserve">Merobaudes II et Saturninus = 383 dans les fastes usuels. La fiche voisine EDB8750 (ICVR 6038, même consulat) est datée 383 par l’EDB : incohérence interne de l’EDB probable.</w:t>
            </w:r>
            <w:r>
              <w:t xml:space="preserve"> </w:t>
            </w:r>
            <w:r>
              <w:rPr>
                <w:bCs/>
                <w:b/>
              </w:rPr>
              <w:t xml:space="preserve">À vérifier : ICVR II 6037, CLRE.</w:t>
            </w:r>
          </w:p>
        </w:tc>
      </w:tr>
      <w:tr>
        <w:tc>
          <w:tcPr/>
          <w:p>
            <w:pPr>
              <w:pStyle w:val="Compact"/>
              <w:jc w:val="left"/>
            </w:pPr>
            <w:r>
              <w:t xml:space="preserve">311</w:t>
            </w:r>
          </w:p>
        </w:tc>
        <w:tc>
          <w:tcPr/>
          <w:p>
            <w:pPr>
              <w:pStyle w:val="Compact"/>
              <w:jc w:val="left"/>
            </w:pPr>
            <w:r>
              <w:t xml:space="preserve">EDB22064 (ICVR 6506)</w:t>
            </w:r>
          </w:p>
        </w:tc>
        <w:tc>
          <w:tcPr/>
          <w:p>
            <w:pPr>
              <w:pStyle w:val="Compact"/>
              <w:jc w:val="left"/>
            </w:pPr>
            <w:r>
              <w:rPr>
                <w:rStyle w:val="VerbatimChar"/>
              </w:rPr>
              <w:t xml:space="preserve">… VI idus feb(ruarias) Maximo cons(ule)</w:t>
            </w:r>
          </w:p>
        </w:tc>
        <w:tc>
          <w:tcPr/>
          <w:p>
            <w:pPr>
              <w:pStyle w:val="Compact"/>
              <w:jc w:val="left"/>
            </w:pPr>
            <w:r>
              <w:t xml:space="preserve">388</w:t>
            </w:r>
          </w:p>
        </w:tc>
        <w:tc>
          <w:tcPr/>
          <w:p>
            <w:pPr>
              <w:pStyle w:val="Compact"/>
              <w:jc w:val="left"/>
            </w:pPr>
            <w:r>
              <w:t xml:space="preserve">389</w:t>
            </w:r>
          </w:p>
        </w:tc>
        <w:tc>
          <w:tcPr/>
          <w:p>
            <w:pPr>
              <w:pStyle w:val="Compact"/>
              <w:jc w:val="left"/>
            </w:pPr>
            <w:r>
              <w:t xml:space="preserve">Inscription</w:t>
            </w:r>
            <w:r>
              <w:t xml:space="preserve"> </w:t>
            </w:r>
            <w:r>
              <w:rPr>
                <w:bCs/>
                <w:b/>
              </w:rPr>
              <w:t xml:space="preserve">tracée dans l’enduit</w:t>
            </w:r>
            <w:r>
              <w:t xml:space="preserve"> </w:t>
            </w:r>
            <w:r>
              <w:t xml:space="preserve">(</w:t>
            </w:r>
            <w:r>
              <w:rPr>
                <w:iCs/>
                <w:i/>
              </w:rPr>
              <w:t xml:space="preserve">exaratus</w:t>
            </w:r>
            <w:r>
              <w:t xml:space="preserve">,</w:t>
            </w:r>
            <w:r>
              <w:t xml:space="preserve"> </w:t>
            </w:r>
            <w:r>
              <w:rPr>
                <w:iCs/>
                <w:i/>
              </w:rPr>
              <w:t xml:space="preserve">arenatum</w:t>
            </w:r>
            <w:r>
              <w:t xml:space="preserve">),</w:t>
            </w:r>
            <w:r>
              <w:t xml:space="preserve"> </w:t>
            </w:r>
            <w:r>
              <w:rPr>
                <w:iCs/>
                <w:i/>
              </w:rPr>
              <w:t xml:space="preserve">in situ</w:t>
            </w:r>
            <w:r>
              <w:t xml:space="preserve"> </w:t>
            </w:r>
            <w:r>
              <w:t xml:space="preserve">à Domitilla. Note de l’EDB : « Transcription different from ICVR ». Consulat de Magnus Maximus (388) ou autre lecture ;</w:t>
            </w:r>
            <w:r>
              <w:t xml:space="preserve"> </w:t>
            </w:r>
            <w:r>
              <w:rPr>
                <w:bCs/>
                <w:b/>
              </w:rPr>
              <w:t xml:space="preserve">à vérifier : ICVR III 6506, CLRE.</w:t>
            </w:r>
          </w:p>
        </w:tc>
      </w:tr>
      <w:tr>
        <w:tc>
          <w:tcPr/>
          <w:p>
            <w:pPr>
              <w:pStyle w:val="Compact"/>
              <w:jc w:val="left"/>
            </w:pPr>
            <w:r>
              <w:t xml:space="preserve">434</w:t>
            </w:r>
          </w:p>
        </w:tc>
        <w:tc>
          <w:tcPr/>
          <w:p>
            <w:pPr>
              <w:pStyle w:val="Compact"/>
              <w:jc w:val="left"/>
            </w:pPr>
            <w:r>
              <w:t xml:space="preserve">EDB34468 (ICVR 6476)</w:t>
            </w:r>
          </w:p>
        </w:tc>
        <w:tc>
          <w:tcPr/>
          <w:p>
            <w:pPr>
              <w:pStyle w:val="Compact"/>
              <w:jc w:val="left"/>
            </w:pPr>
            <w:r>
              <w:rPr>
                <w:rStyle w:val="VerbatimChar"/>
              </w:rPr>
              <w:t xml:space="preserve">Cam(---) p(ost) cons(ulatum) / Arcadi I[II]I</w:t>
            </w:r>
          </w:p>
        </w:tc>
        <w:tc>
          <w:tcPr/>
          <w:p>
            <w:pPr>
              <w:pStyle w:val="Compact"/>
              <w:jc w:val="left"/>
            </w:pPr>
            <w:r>
              <w:t xml:space="preserve">397</w:t>
            </w:r>
          </w:p>
        </w:tc>
        <w:tc>
          <w:tcPr/>
          <w:p>
            <w:pPr>
              <w:pStyle w:val="Compact"/>
              <w:jc w:val="left"/>
            </w:pPr>
            <w:r>
              <w:t xml:space="preserve">399</w:t>
            </w:r>
          </w:p>
        </w:tc>
        <w:tc>
          <w:tcPr/>
          <w:p>
            <w:pPr>
              <w:pStyle w:val="Compact"/>
              <w:jc w:val="left"/>
            </w:pPr>
            <w:r>
              <w:t xml:space="preserve">Inscription tracée dans l’enduit,</w:t>
            </w:r>
            <w:r>
              <w:t xml:space="preserve"> </w:t>
            </w:r>
            <w:r>
              <w:rPr>
                <w:iCs/>
                <w:i/>
              </w:rPr>
              <w:t xml:space="preserve">in situ</w:t>
            </w:r>
            <w:r>
              <w:t xml:space="preserve"> </w:t>
            </w:r>
            <w:r>
              <w:t xml:space="preserve">à Commodilla, relevée par Bagatti (Silvagni) ; itération partiellement restituée. Le p.c. d’Arcadius IV donne 397 ; l’EDB date 399.</w:t>
            </w:r>
            <w:r>
              <w:t xml:space="preserve"> </w:t>
            </w:r>
            <w:r>
              <w:rPr>
                <w:bCs/>
                <w:b/>
              </w:rPr>
              <w:t xml:space="preserve">À vérifier.</w:t>
            </w:r>
          </w:p>
        </w:tc>
      </w:tr>
      <w:tr>
        <w:tc>
          <w:tcPr/>
          <w:p>
            <w:pPr>
              <w:pStyle w:val="Compact"/>
              <w:jc w:val="left"/>
            </w:pPr>
            <w:r>
              <w:t xml:space="preserve">141</w:t>
            </w:r>
          </w:p>
        </w:tc>
        <w:tc>
          <w:tcPr/>
          <w:p>
            <w:pPr>
              <w:pStyle w:val="Compact"/>
              <w:jc w:val="left"/>
            </w:pPr>
            <w:r>
              <w:t xml:space="preserve">EDB9633 (ICVR 6030)</w:t>
            </w:r>
          </w:p>
        </w:tc>
        <w:tc>
          <w:tcPr/>
          <w:p>
            <w:pPr>
              <w:pStyle w:val="Compact"/>
              <w:jc w:val="left"/>
            </w:pPr>
            <w:r>
              <w:rPr>
                <w:rStyle w:val="VerbatimChar"/>
              </w:rPr>
              <w:t xml:space="preserve">emit c(onsule) d(omi)n(o) Valentinian{i}o III</w:t>
            </w:r>
          </w:p>
        </w:tc>
        <w:tc>
          <w:tcPr/>
          <w:p>
            <w:pPr>
              <w:pStyle w:val="Compact"/>
              <w:jc w:val="left"/>
            </w:pPr>
            <w:r>
              <w:t xml:space="preserve">370</w:t>
            </w:r>
          </w:p>
        </w:tc>
        <w:tc>
          <w:tcPr/>
          <w:p>
            <w:pPr>
              <w:pStyle w:val="Compact"/>
              <w:jc w:val="left"/>
            </w:pPr>
            <w:r>
              <w:t xml:space="preserve">370 ; 387</w:t>
            </w:r>
          </w:p>
        </w:tc>
        <w:tc>
          <w:tcPr/>
          <w:p>
            <w:pPr>
              <w:pStyle w:val="Compact"/>
              <w:jc w:val="left"/>
            </w:pPr>
            <w:r>
              <w:t xml:space="preserve">Pierre aujourd’hui perdue. La fiche EDB cite CLRE p. 644 : « Year doubtful: 387 possible ».</w:t>
            </w:r>
            <w:r>
              <w:t xml:space="preserve"> </w:t>
            </w:r>
            <w:r>
              <w:rPr>
                <w:bCs/>
                <w:b/>
              </w:rPr>
              <w:t xml:space="preserve">Ambiguïté réelle sur l’empereur</w:t>
            </w:r>
            <w:r>
              <w:t xml:space="preserve"> </w:t>
            </w:r>
            <w:r>
              <w:t xml:space="preserve">(370 ou 387). Coder « datation incertaine (370/387) ».</w:t>
            </w:r>
          </w:p>
        </w:tc>
      </w:tr>
      <w:tr>
        <w:tc>
          <w:tcPr/>
          <w:p>
            <w:pPr>
              <w:pStyle w:val="Compact"/>
              <w:jc w:val="left"/>
            </w:pPr>
            <w:r>
              <w:t xml:space="preserve">40</w:t>
            </w:r>
          </w:p>
        </w:tc>
        <w:tc>
          <w:tcPr/>
          <w:p>
            <w:pPr>
              <w:pStyle w:val="Compact"/>
              <w:jc w:val="left"/>
            </w:pPr>
            <w:r>
              <w:t xml:space="preserve">EDB30464 (ICVR 1252)</w:t>
            </w:r>
          </w:p>
        </w:tc>
        <w:tc>
          <w:tcPr/>
          <w:p>
            <w:pPr>
              <w:pStyle w:val="Compact"/>
              <w:jc w:val="left"/>
            </w:pPr>
            <w:r>
              <w:rPr>
                <w:rStyle w:val="VerbatimChar"/>
              </w:rPr>
              <w:t xml:space="preserve">MVANNENTIO et Decen/[ti]o cc(on)s(ulibu)s</w:t>
            </w:r>
          </w:p>
        </w:tc>
        <w:tc>
          <w:tcPr/>
          <w:p>
            <w:pPr>
              <w:pStyle w:val="Compact"/>
              <w:jc w:val="left"/>
            </w:pPr>
            <w:r>
              <w:t xml:space="preserve">353</w:t>
            </w:r>
          </w:p>
        </w:tc>
        <w:tc>
          <w:tcPr/>
          <w:p>
            <w:pPr>
              <w:pStyle w:val="Compact"/>
              <w:jc w:val="left"/>
            </w:pPr>
            <w:r>
              <w:t xml:space="preserve">352</w:t>
            </w:r>
          </w:p>
        </w:tc>
        <w:tc>
          <w:tcPr/>
          <w:p>
            <w:pPr>
              <w:pStyle w:val="Compact"/>
              <w:jc w:val="left"/>
            </w:pPr>
            <w:r>
              <w:t xml:space="preserve">La fiche EDB (consultée en détail) cite CLRE p. 636 : le lapicide aurait mal copié la formule de 352 (</w:t>
            </w:r>
            <w:r>
              <w:rPr>
                <w:iCs/>
                <w:i/>
              </w:rPr>
              <w:t xml:space="preserve">Magno Decentio</w:t>
            </w:r>
            <w:r>
              <w:t xml:space="preserve">) après avoir gravé</w:t>
            </w:r>
            <w:r>
              <w:t xml:space="preserve"> </w:t>
            </w:r>
            <w:r>
              <w:rPr>
                <w:iCs/>
                <w:i/>
              </w:rPr>
              <w:t xml:space="preserve">Magnentio</w:t>
            </w:r>
            <w:r>
              <w:t xml:space="preserve"> </w:t>
            </w:r>
            <w:r>
              <w:t xml:space="preserve">toute l’année précédente. La v2.0 lit Magnence III et Décence II (353).</w:t>
            </w:r>
            <w:r>
              <w:t xml:space="preserve"> </w:t>
            </w:r>
            <w:r>
              <w:rPr>
                <w:bCs/>
                <w:b/>
              </w:rPr>
              <w:t xml:space="preserve">Deux interprétations publiées, à arbitrer sur CLRE.</w:t>
            </w:r>
          </w:p>
        </w:tc>
      </w:tr>
      <w:tr>
        <w:tc>
          <w:tcPr/>
          <w:p>
            <w:pPr>
              <w:pStyle w:val="Compact"/>
              <w:jc w:val="left"/>
            </w:pPr>
            <w:r>
              <w:t xml:space="preserve">206</w:t>
            </w:r>
          </w:p>
        </w:tc>
        <w:tc>
          <w:tcPr/>
          <w:p>
            <w:pPr>
              <w:pStyle w:val="Compact"/>
              <w:jc w:val="left"/>
            </w:pPr>
            <w:r>
              <w:t xml:space="preserve">EDB880 (ICVR 11770) — inscription</w:t>
            </w:r>
            <w:r>
              <w:t xml:space="preserve"> </w:t>
            </w:r>
            <w:r>
              <w:rPr>
                <w:bCs/>
                <w:b/>
              </w:rPr>
              <w:t xml:space="preserve">peinte</w:t>
            </w:r>
            <w:r>
              <w:t xml:space="preserve"> </w:t>
            </w:r>
            <w:r>
              <w:t xml:space="preserve">sur enduit,</w:t>
            </w:r>
            <w:r>
              <w:t xml:space="preserve"> </w:t>
            </w:r>
            <w:r>
              <w:rPr>
                <w:iCs/>
                <w:i/>
              </w:rPr>
              <w:t xml:space="preserve">in situ</w:t>
            </w:r>
          </w:p>
        </w:tc>
        <w:tc>
          <w:tcPr/>
          <w:p>
            <w:pPr>
              <w:pStyle w:val="Compact"/>
              <w:jc w:val="left"/>
            </w:pPr>
            <w:r>
              <w:rPr>
                <w:rStyle w:val="VerbatimChar"/>
              </w:rPr>
              <w:t xml:space="preserve">Valentiniano III / et Valente Augg(ustis) / cons(ulibu)s</w:t>
            </w:r>
          </w:p>
        </w:tc>
        <w:tc>
          <w:tcPr/>
          <w:p>
            <w:pPr>
              <w:pStyle w:val="Compact"/>
              <w:jc w:val="left"/>
            </w:pPr>
            <w:r>
              <w:t xml:space="preserve">370</w:t>
            </w:r>
          </w:p>
        </w:tc>
        <w:tc>
          <w:tcPr/>
          <w:p>
            <w:pPr>
              <w:pStyle w:val="Compact"/>
              <w:jc w:val="left"/>
            </w:pPr>
            <w:r>
              <w:t xml:space="preserve">377</w:t>
            </w:r>
          </w:p>
        </w:tc>
        <w:tc>
          <w:tcPr/>
          <w:p>
            <w:pPr>
              <w:pStyle w:val="Compact"/>
              <w:jc w:val="left"/>
            </w:pPr>
            <w:r>
              <w:t xml:space="preserve">Valentinien I III et Valens III = 370 selon les fastes usuels. La date EDB de 377 est</w:t>
            </w:r>
            <w:r>
              <w:t xml:space="preserve"> </w:t>
            </w:r>
            <w:r>
              <w:rPr>
                <w:bCs/>
                <w:b/>
              </w:rPr>
              <w:t xml:space="preserve">probablement une erreur de saisie de l’EDB</w:t>
            </w:r>
            <w:r>
              <w:t xml:space="preserve">. À vérifier sur l’ICVR IV 11770.</w:t>
            </w:r>
          </w:p>
        </w:tc>
      </w:tr>
      <w:tr>
        <w:tc>
          <w:tcPr/>
          <w:p>
            <w:pPr>
              <w:pStyle w:val="Compact"/>
              <w:jc w:val="left"/>
            </w:pPr>
            <w:r>
              <w:t xml:space="preserve">328</w:t>
            </w:r>
          </w:p>
        </w:tc>
        <w:tc>
          <w:tcPr/>
          <w:p>
            <w:pPr>
              <w:pStyle w:val="Compact"/>
              <w:jc w:val="left"/>
            </w:pPr>
            <w:r>
              <w:t xml:space="preserve">EDB17191 (ICVR 9578)</w:t>
            </w:r>
          </w:p>
        </w:tc>
        <w:tc>
          <w:tcPr/>
          <w:p>
            <w:pPr>
              <w:pStyle w:val="Compact"/>
              <w:jc w:val="left"/>
            </w:pPr>
            <w:r>
              <w:rPr>
                <w:rStyle w:val="VerbatimChar"/>
              </w:rPr>
              <w:t xml:space="preserve">[--- Fl(avio) Syagrio et Eu]terio [conss(ulibus)]</w:t>
            </w:r>
          </w:p>
        </w:tc>
        <w:tc>
          <w:tcPr/>
          <w:p>
            <w:pPr>
              <w:pStyle w:val="Compact"/>
              <w:jc w:val="left"/>
            </w:pPr>
            <w:r>
              <w:t xml:space="preserve">381</w:t>
            </w:r>
          </w:p>
        </w:tc>
        <w:tc>
          <w:tcPr/>
          <w:p>
            <w:pPr>
              <w:pStyle w:val="Compact"/>
              <w:jc w:val="left"/>
            </w:pPr>
            <w:r>
              <w:t xml:space="preserve">390</w:t>
            </w:r>
          </w:p>
        </w:tc>
        <w:tc>
          <w:tcPr/>
          <w:p>
            <w:pPr>
              <w:pStyle w:val="Compact"/>
              <w:jc w:val="left"/>
            </w:pPr>
            <w:r>
              <w:t xml:space="preserve">Seul</w:t>
            </w:r>
            <w:r>
              <w:t xml:space="preserve"> </w:t>
            </w:r>
            <w:r>
              <w:rPr>
                <w:iCs/>
                <w:i/>
              </w:rPr>
              <w:t xml:space="preserve">…terio</w:t>
            </w:r>
            <w:r>
              <w:t xml:space="preserve"> </w:t>
            </w:r>
            <w:r>
              <w:t xml:space="preserve">est lu. La restitution</w:t>
            </w:r>
            <w:r>
              <w:t xml:space="preserve"> </w:t>
            </w:r>
            <w:r>
              <w:rPr>
                <w:iCs/>
                <w:i/>
              </w:rPr>
              <w:t xml:space="preserve">Syagrio et Eucherio</w:t>
            </w:r>
            <w:r>
              <w:t xml:space="preserve"> </w:t>
            </w:r>
            <w:r>
              <w:t xml:space="preserve">(381) est commune aux deux bases, mais la date EDB (390) suppose</w:t>
            </w:r>
            <w:r>
              <w:t xml:space="preserve"> </w:t>
            </w:r>
            <w:r>
              <w:rPr>
                <w:iCs/>
                <w:i/>
              </w:rPr>
              <w:t xml:space="preserve">[Valentiniano IIII et Neo]terio</w:t>
            </w:r>
            <w:r>
              <w:t xml:space="preserve">.</w:t>
            </w:r>
            <w:r>
              <w:t xml:space="preserve"> </w:t>
            </w:r>
            <w:r>
              <w:rPr>
                <w:bCs/>
                <w:b/>
              </w:rPr>
              <w:t xml:space="preserve">La date dépend entièrement de la restitution : 381 ou 390.</w:t>
            </w:r>
            <w:r>
              <w:t xml:space="preserve"> </w:t>
            </w:r>
            <w:r>
              <w:t xml:space="preserve">Le n° 328 doit être classé « datation incertaine (381/390) ».</w:t>
            </w:r>
          </w:p>
        </w:tc>
      </w:tr>
      <w:tr>
        <w:tc>
          <w:tcPr/>
          <w:p>
            <w:pPr>
              <w:pStyle w:val="Compact"/>
              <w:jc w:val="left"/>
            </w:pPr>
            <w:r>
              <w:t xml:space="preserve">52</w:t>
            </w:r>
          </w:p>
        </w:tc>
        <w:tc>
          <w:tcPr/>
          <w:p>
            <w:pPr>
              <w:pStyle w:val="Compact"/>
              <w:jc w:val="left"/>
            </w:pPr>
            <w:r>
              <w:t xml:space="preserve">EDB17462 (ICVR 6022) — pierre perdue</w:t>
            </w:r>
          </w:p>
        </w:tc>
        <w:tc>
          <w:tcPr/>
          <w:p>
            <w:pPr>
              <w:pStyle w:val="Compact"/>
              <w:jc w:val="left"/>
            </w:pPr>
            <w:r>
              <w:rPr>
                <w:rStyle w:val="VerbatimChar"/>
              </w:rPr>
              <w:t xml:space="preserve">[---] cons(ulibu)s Da[---]</w:t>
            </w:r>
          </w:p>
        </w:tc>
        <w:tc>
          <w:tcPr/>
          <w:p>
            <w:pPr>
              <w:pStyle w:val="Compact"/>
              <w:jc w:val="left"/>
            </w:pPr>
            <w:r>
              <w:t xml:space="preserve">358</w:t>
            </w:r>
          </w:p>
        </w:tc>
        <w:tc>
          <w:tcPr/>
          <w:p>
            <w:pPr>
              <w:pStyle w:val="Compact"/>
              <w:jc w:val="left"/>
            </w:pPr>
            <w:r>
              <w:t xml:space="preserve">333 ; 358</w:t>
            </w:r>
          </w:p>
        </w:tc>
        <w:tc>
          <w:tcPr/>
          <w:p>
            <w:pPr>
              <w:pStyle w:val="Compact"/>
              <w:jc w:val="left"/>
            </w:pPr>
            <w:r>
              <w:t xml:space="preserve">Note EDB (Vilella, d’après CLRE p. 631) : la restitution</w:t>
            </w:r>
            <w:r>
              <w:t xml:space="preserve"> </w:t>
            </w:r>
            <w:r>
              <w:rPr>
                <w:iCs/>
                <w:i/>
              </w:rPr>
              <w:t xml:space="preserve">Da[tiano et Cereale]</w:t>
            </w:r>
            <w:r>
              <w:t xml:space="preserve"> </w:t>
            </w:r>
            <w:r>
              <w:t xml:space="preserve">de Silvagni est incertaine, car Dalmatius, consul en</w:t>
            </w:r>
            <w:r>
              <w:t xml:space="preserve"> </w:t>
            </w:r>
            <w:r>
              <w:rPr>
                <w:bCs/>
                <w:b/>
              </w:rPr>
              <w:t xml:space="preserve">333</w:t>
            </w:r>
            <w:r>
              <w:t xml:space="preserve"> </w:t>
            </w:r>
            <w:r>
              <w:t xml:space="preserve">avec Zenophilus, commence aussi par DA.</w:t>
            </w:r>
            <w:r>
              <w:t xml:space="preserve"> </w:t>
            </w:r>
            <w:r>
              <w:rPr>
                <w:bCs/>
                <w:b/>
              </w:rPr>
              <w:t xml:space="preserve">Date incertaine (333/358)</w:t>
            </w:r>
            <w:r>
              <w:t xml:space="preserve"> </w:t>
            </w:r>
            <w:r>
              <w:t xml:space="preserve">; si 333, la notice sort du corpus. (lot 5)</w:t>
            </w:r>
          </w:p>
        </w:tc>
      </w:tr>
      <w:tr>
        <w:tc>
          <w:tcPr/>
          <w:p>
            <w:pPr>
              <w:pStyle w:val="Compact"/>
              <w:jc w:val="left"/>
            </w:pPr>
            <w:r>
              <w:t xml:space="preserve">431</w:t>
            </w:r>
          </w:p>
        </w:tc>
        <w:tc>
          <w:tcPr/>
          <w:p>
            <w:pPr>
              <w:pStyle w:val="Compact"/>
              <w:jc w:val="left"/>
            </w:pPr>
            <w:r>
              <w:t xml:space="preserve">EDB27849 (ICVR I 309 = ILCV 4400B) — pierre perdue</w:t>
            </w:r>
          </w:p>
        </w:tc>
        <w:tc>
          <w:tcPr/>
          <w:p>
            <w:pPr>
              <w:pStyle w:val="Compact"/>
              <w:jc w:val="left"/>
            </w:pPr>
            <w:r>
              <w:rPr>
                <w:rStyle w:val="VerbatimChar"/>
              </w:rPr>
              <w:t xml:space="preserve">[post?] consulatu d(omini) n(ostri) Harchadi IIII et Euty/chiani</w:t>
            </w:r>
          </w:p>
        </w:tc>
        <w:tc>
          <w:tcPr/>
          <w:p>
            <w:pPr>
              <w:pStyle w:val="Compact"/>
              <w:jc w:val="left"/>
            </w:pPr>
            <w:r>
              <w:t xml:space="preserve">399</w:t>
            </w:r>
          </w:p>
        </w:tc>
        <w:tc>
          <w:tcPr/>
          <w:p>
            <w:pPr>
              <w:pStyle w:val="Compact"/>
              <w:jc w:val="left"/>
            </w:pPr>
            <w:r>
              <w:t xml:space="preserve">398 ; 399</w:t>
            </w:r>
          </w:p>
        </w:tc>
        <w:tc>
          <w:tcPr/>
          <w:p>
            <w:pPr>
              <w:pStyle w:val="Compact"/>
              <w:jc w:val="left"/>
            </w:pPr>
            <w:r>
              <w:rPr>
                <w:iCs/>
                <w:i/>
              </w:rPr>
              <w:t xml:space="preserve">Harchadi</w:t>
            </w:r>
            <w:r>
              <w:t xml:space="preserve"> </w:t>
            </w:r>
            <w:r>
              <w:t xml:space="preserve">est une erreur pour</w:t>
            </w:r>
            <w:r>
              <w:t xml:space="preserve"> </w:t>
            </w:r>
            <w:r>
              <w:rPr>
                <w:iCs/>
                <w:i/>
              </w:rPr>
              <w:t xml:space="preserve">Honorii</w:t>
            </w:r>
            <w:r>
              <w:t xml:space="preserve"> </w:t>
            </w:r>
            <w:r>
              <w:t xml:space="preserve">(Muratori, Silvagni). CLRE p. 661 (cité par l’EDB) attribue l’inscription à</w:t>
            </w:r>
            <w:r>
              <w:t xml:space="preserve"> </w:t>
            </w:r>
            <w:r>
              <w:rPr>
                <w:bCs/>
                <w:b/>
              </w:rPr>
              <w:t xml:space="preserve">398</w:t>
            </w:r>
            <w:r>
              <w:t xml:space="preserve"> </w:t>
            </w:r>
            <w:r>
              <w:t xml:space="preserve">:</w:t>
            </w:r>
            <w:r>
              <w:t xml:space="preserve"> </w:t>
            </w:r>
            <w:r>
              <w:rPr>
                <w:iCs/>
                <w:i/>
              </w:rPr>
              <w:t xml:space="preserve">post</w:t>
            </w:r>
            <w:r>
              <w:t xml:space="preserve"> </w:t>
            </w:r>
            <w:r>
              <w:t xml:space="preserve">restitué serait trop long, et un p.c. aussi tardif en 399 serait sans exemple. La v2.0 retient le p.c. (399).</w:t>
            </w:r>
            <w:r>
              <w:t xml:space="preserve"> </w:t>
            </w:r>
            <w:r>
              <w:rPr>
                <w:bCs/>
                <w:b/>
              </w:rPr>
              <w:t xml:space="preserve">À arbitrer sur CLRE.</w:t>
            </w:r>
            <w:r>
              <w:t xml:space="preserve"> </w:t>
            </w:r>
            <w:r>
              <w:t xml:space="preserve">(lot 5)</w:t>
            </w:r>
          </w:p>
        </w:tc>
      </w:tr>
    </w:tbl>
    <w:bookmarkEnd w:id="38"/>
    <w:bookmarkEnd w:id="39"/>
    <w:bookmarkStart w:id="40" w:name="Xddbcd2d14dc68ebdc8359d705aff97e67d494b8"/>
    <w:p>
      <w:pPr>
        <w:pStyle w:val="Heading2"/>
      </w:pPr>
      <w:r>
        <w:t xml:space="preserve">E. Signes chrétiens absents de l’EDCS (constat nouveau)</w:t>
      </w:r>
    </w:p>
    <w:p>
      <w:pPr>
        <w:pStyle w:val="FirstParagraph"/>
      </w:pPr>
      <w:r>
        <w:t xml:space="preserve">Sur les</w:t>
      </w:r>
      <w:r>
        <w:t xml:space="preserve"> </w:t>
      </w:r>
      <w:r>
        <w:rPr>
          <w:bCs/>
          <w:b/>
        </w:rPr>
        <w:t xml:space="preserve">456 notices appariées</w:t>
      </w:r>
      <w:r>
        <w:t xml:space="preserve"> </w:t>
      </w:r>
      <w:r>
        <w:t xml:space="preserve">(lot 4), l’EDB décrit pour</w:t>
      </w:r>
      <w:r>
        <w:t xml:space="preserve"> </w:t>
      </w:r>
      <w:r>
        <w:rPr>
          <w:bCs/>
          <w:b/>
        </w:rPr>
        <w:t xml:space="preserve">47 d’entre elles un chrisme ou une croix</w:t>
      </w:r>
      <w:r>
        <w:t xml:space="preserve"> </w:t>
      </w:r>
      <w:r>
        <w:t xml:space="preserve">:</w:t>
      </w:r>
      <w:r>
        <w:t xml:space="preserve"> </w:t>
      </w:r>
      <w:r>
        <w:rPr>
          <w:iCs/>
          <w:i/>
        </w:rPr>
        <w:t xml:space="preserve">monogramma Christi</w:t>
      </w:r>
      <w:r>
        <w:t xml:space="preserve">, avec ou sans</w:t>
      </w:r>
      <w:r>
        <w:t xml:space="preserve"> </w:t>
      </w:r>
      <w:r>
        <w:rPr>
          <w:iCs/>
          <w:i/>
        </w:rPr>
        <w:t xml:space="preserve">alpha et omega</w:t>
      </w:r>
      <w:r>
        <w:t xml:space="preserve">,</w:t>
      </w:r>
      <w:r>
        <w:t xml:space="preserve"> </w:t>
      </w:r>
      <w:r>
        <w:rPr>
          <w:iCs/>
          <w:i/>
        </w:rPr>
        <w:t xml:space="preserve">in crucem translatum</w:t>
      </w:r>
      <w:r>
        <w:t xml:space="preserve">,</w:t>
      </w:r>
      <w:r>
        <w:t xml:space="preserve"> </w:t>
      </w:r>
      <w:r>
        <w:rPr>
          <w:iCs/>
          <w:i/>
        </w:rPr>
        <w:t xml:space="preserve">crux quadrata</w:t>
      </w:r>
      <w:r>
        <w:t xml:space="preserve">,</w:t>
      </w:r>
      <w:r>
        <w:t xml:space="preserve"> </w:t>
      </w:r>
      <w:r>
        <w:rPr>
          <w:iCs/>
          <w:i/>
        </w:rPr>
        <w:t xml:space="preserve">crux gammata</w:t>
      </w:r>
      <w:r>
        <w:t xml:space="preserve">, etc. Ce sont les n° 4, 16, 22, 24, 34, 38, 43, 46, 49, 50, 55, 60, 68, 73, 94, 99, 100, 109, 118, 128, 136, 139, 142, 143, 146, 147, 179, 183, 193, 209, 213, 247, 260, 273, 275, 276, 321, 344, 357, 369, 376, 400, 402, 430, 431, 434 et 465. Le n° 339 porte un monogramme de nom (</w:t>
      </w:r>
      <w:r>
        <w:rPr>
          <w:iCs/>
          <w:i/>
        </w:rPr>
        <w:t xml:space="preserve">Laurentia</w:t>
      </w:r>
      <w:r>
        <w:t xml:space="preserve">) et n’est pas compté. L’EDCS</w:t>
      </w:r>
      <w:r>
        <w:t xml:space="preserve"> </w:t>
      </w:r>
      <w:r>
        <w:rPr>
          <w:bCs/>
          <w:b/>
        </w:rPr>
        <w:t xml:space="preserve">ne transmet aucun de ces signes</w:t>
      </w:r>
      <w:r>
        <w:t xml:space="preserve">, sauf le n° 38, rendu par</w:t>
      </w:r>
      <w:r>
        <w:t xml:space="preserve"> </w:t>
      </w:r>
      <w:r>
        <w:rPr>
          <w:iCs/>
          <w:i/>
        </w:rPr>
        <w:t xml:space="preserve">Chr(isti)</w:t>
      </w:r>
      <w:r>
        <w:t xml:space="preserve">.</w:t>
      </w:r>
    </w:p>
    <w:p>
      <w:pPr>
        <w:pStyle w:val="BodyText"/>
      </w:pPr>
      <w:r>
        <w:t xml:space="preserve">Le résultat central de la v2.0 doit donc être reformulé : « désignations gravées de Dieu, du Christ… dans 14 textes funéraires sur 468 (3,0 %) ». Il reste exact pour le</w:t>
      </w:r>
      <w:r>
        <w:t xml:space="preserve"> </w:t>
      </w:r>
      <w:r>
        <w:rPr>
          <w:bCs/>
          <w:b/>
        </w:rPr>
        <w:t xml:space="preserve">vocabulaire</w:t>
      </w:r>
      <w:r>
        <w:t xml:space="preserve">. En revanche, il ne mesure pas le marquage chrétien des monuments :</w:t>
      </w:r>
      <w:r>
        <w:t xml:space="preserve"> </w:t>
      </w:r>
      <w:r>
        <w:rPr>
          <w:bCs/>
          <w:b/>
        </w:rPr>
        <w:t xml:space="preserve">47 notices sur 456 collationnées (10,3 %)</w:t>
      </w:r>
      <w:r>
        <w:t xml:space="preserve"> </w:t>
      </w:r>
      <w:r>
        <w:t xml:space="preserve">portent un chrisme ou une croix selon l’EDB. Ce chiffre est un minimum, car les textes de liste tronqués (« More ») peuvent omettre un signe placé en fin de texte. Il dépend aussi de la description de l’EDB, non vérifiée sur photographie.</w:t>
      </w:r>
    </w:p>
    <w:p>
      <w:pPr>
        <w:pStyle w:val="BodyText"/>
      </w:pPr>
      <w:r>
        <w:t xml:space="preserve">L’EDB décrit aussi d’autres signes, non comptés ici comme christiques :</w:t>
      </w:r>
      <w:r>
        <w:t xml:space="preserve"> </w:t>
      </w:r>
      <w:r>
        <w:rPr>
          <w:iCs/>
          <w:i/>
        </w:rPr>
        <w:t xml:space="preserve">avis</w:t>
      </w:r>
      <w:r>
        <w:t xml:space="preserve"> </w:t>
      </w:r>
      <w:r>
        <w:t xml:space="preserve">(11),</w:t>
      </w:r>
      <w:r>
        <w:t xml:space="preserve"> </w:t>
      </w:r>
      <w:r>
        <w:rPr>
          <w:iCs/>
          <w:i/>
        </w:rPr>
        <w:t xml:space="preserve">palma</w:t>
      </w:r>
      <w:r>
        <w:t xml:space="preserve"> </w:t>
      </w:r>
      <w:r>
        <w:t xml:space="preserve">(4),</w:t>
      </w:r>
      <w:r>
        <w:t xml:space="preserve"> </w:t>
      </w:r>
      <w:r>
        <w:rPr>
          <w:iCs/>
          <w:i/>
        </w:rPr>
        <w:t xml:space="preserve">folium</w:t>
      </w:r>
      <w:r>
        <w:t xml:space="preserve">,</w:t>
      </w:r>
      <w:r>
        <w:t xml:space="preserve"> </w:t>
      </w:r>
      <w:r>
        <w:rPr>
          <w:iCs/>
          <w:i/>
        </w:rPr>
        <w:t xml:space="preserve">uva</w:t>
      </w:r>
      <w:r>
        <w:t xml:space="preserve">,</w:t>
      </w:r>
      <w:r>
        <w:t xml:space="preserve"> </w:t>
      </w:r>
      <w:r>
        <w:rPr>
          <w:iCs/>
          <w:i/>
        </w:rPr>
        <w:t xml:space="preserve">orans</w:t>
      </w:r>
      <w:r>
        <w:t xml:space="preserve">, etc.</w:t>
      </w:r>
    </w:p>
    <w:bookmarkEnd w:id="40"/>
    <w:bookmarkStart w:id="43" w:name="f.-notices-sans-numéro-icur-22-lot-4"/>
    <w:p>
      <w:pPr>
        <w:pStyle w:val="Heading2"/>
      </w:pPr>
      <w:r>
        <w:t xml:space="preserve">F. Notices sans numéro ICUR (22) — lot 4</w:t>
      </w:r>
    </w:p>
    <w:p>
      <w:pPr>
        <w:pStyle w:val="FirstParagraph"/>
      </w:pPr>
      <w:r>
        <w:t xml:space="preserve">Ces notices ont été recherchées de deux façons. D’abord dans le</w:t>
      </w:r>
      <w:r>
        <w:t xml:space="preserve"> </w:t>
      </w:r>
      <w:r>
        <w:rPr>
          <w:bCs/>
          <w:b/>
        </w:rPr>
        <w:t xml:space="preserve">dump de l’EDH</w:t>
      </w:r>
      <w:r>
        <w:t xml:space="preserve"> </w:t>
      </w:r>
      <w:r>
        <w:t xml:space="preserve">(Epigraphic Database Heidelberg, CC BY-SA 4.0, dépôt GitHub officiel, cloné le 14 oct. 2026), par leur référence AE. Ensuite dans les</w:t>
      </w:r>
      <w:r>
        <w:t xml:space="preserve"> </w:t>
      </w:r>
      <w:r>
        <w:rPr>
          <w:bCs/>
          <w:b/>
        </w:rPr>
        <w:t xml:space="preserve">fiches EDB sans numéro ICVR</w:t>
      </w:r>
      <w:r>
        <w:t xml:space="preserve">, en fin de liste : pages 2046 à 2117, sauf la page 2069, soit 888 fiches lues. L’appariement se fait par la référence AE donnée dans la bibliographie EDB ou, à défaut, par la similarité de texte.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w:t>
            </w:r>
          </w:p>
        </w:tc>
        <w:tc>
          <w:tcPr/>
          <w:p>
            <w:pPr>
              <w:pStyle w:val="Compact"/>
              <w:jc w:val="left"/>
            </w:pPr>
            <w:r>
              <w:t xml:space="preserve">Référence v2.0</w:t>
            </w:r>
          </w:p>
        </w:tc>
        <w:tc>
          <w:tcPr/>
          <w:p>
            <w:pPr>
              <w:pStyle w:val="Compact"/>
              <w:jc w:val="left"/>
            </w:pPr>
            <w:r>
              <w:t xml:space="preserve">Trouvée dans</w:t>
            </w:r>
          </w:p>
        </w:tc>
        <w:tc>
          <w:tcPr/>
          <w:p>
            <w:pPr>
              <w:pStyle w:val="Compact"/>
              <w:jc w:val="left"/>
            </w:pPr>
            <w:r>
              <w:t xml:space="preserve">Résultat</w:t>
            </w:r>
          </w:p>
        </w:tc>
      </w:tr>
      <w:tr>
        <w:tc>
          <w:tcPr/>
          <w:p>
            <w:pPr>
              <w:pStyle w:val="Compact"/>
              <w:jc w:val="left"/>
            </w:pPr>
            <w:r>
              <w:t xml:space="preserve">106, 282, 329</w:t>
            </w:r>
          </w:p>
        </w:tc>
        <w:tc>
          <w:tcPr/>
          <w:p>
            <w:pPr>
              <w:pStyle w:val="Compact"/>
              <w:jc w:val="left"/>
            </w:pPr>
            <w:r>
              <w:t xml:space="preserve">AE 1905, 71 ; AE 1906, 86 ; AE 1987, 61</w:t>
            </w:r>
          </w:p>
        </w:tc>
        <w:tc>
          <w:tcPr/>
          <w:p>
            <w:pPr>
              <w:pStyle w:val="Compact"/>
              <w:jc w:val="left"/>
            </w:pPr>
            <w:r>
              <w:t xml:space="preserve">EDH HD030246, HD021839 ; EDB10126</w:t>
            </w:r>
          </w:p>
        </w:tc>
        <w:tc>
          <w:tcPr/>
          <w:p>
            <w:pPr>
              <w:pStyle w:val="Compact"/>
              <w:jc w:val="left"/>
            </w:pPr>
            <w:r>
              <w:t xml:space="preserve">doublons</w:t>
            </w:r>
            <w:r>
              <w:t xml:space="preserve"> </w:t>
            </w:r>
            <w:r>
              <w:rPr>
                <w:bCs/>
                <w:b/>
              </w:rPr>
              <w:t xml:space="preserve">certains</w:t>
            </w:r>
            <w:r>
              <w:t xml:space="preserve"> </w:t>
            </w:r>
            <w:r>
              <w:t xml:space="preserve">des n° 120, 288, 336 (§ A)</w:t>
            </w:r>
          </w:p>
        </w:tc>
      </w:tr>
      <w:tr>
        <w:tc>
          <w:tcPr/>
          <w:p>
            <w:pPr>
              <w:pStyle w:val="Compact"/>
              <w:jc w:val="left"/>
            </w:pPr>
            <w:r>
              <w:t xml:space="preserve">98</w:t>
            </w:r>
          </w:p>
        </w:tc>
        <w:tc>
          <w:tcPr/>
          <w:p>
            <w:pPr>
              <w:pStyle w:val="Compact"/>
              <w:jc w:val="left"/>
            </w:pPr>
            <w:r>
              <w:t xml:space="preserve">AE 1914, 68</w:t>
            </w:r>
          </w:p>
        </w:tc>
        <w:tc>
          <w:tcPr/>
          <w:p>
            <w:pPr>
              <w:pStyle w:val="Compact"/>
              <w:jc w:val="left"/>
            </w:pPr>
            <w:r>
              <w:t xml:space="preserve">EDH HD028015 (« ICUR n. s. 17578 ») ; EDB20076</w:t>
            </w:r>
          </w:p>
        </w:tc>
        <w:tc>
          <w:tcPr/>
          <w:p>
            <w:pPr>
              <w:pStyle w:val="Compact"/>
              <w:jc w:val="left"/>
            </w:pPr>
            <w:r>
              <w:rPr>
                <w:bCs/>
                <w:b/>
              </w:rPr>
              <w:t xml:space="preserve">hors corpus</w:t>
            </w:r>
            <w:r>
              <w:t xml:space="preserve"> </w:t>
            </w:r>
            <w:r>
              <w:t xml:space="preserve">(voir ci-dessous)</w:t>
            </w:r>
          </w:p>
        </w:tc>
      </w:tr>
      <w:tr>
        <w:tc>
          <w:tcPr/>
          <w:p>
            <w:pPr>
              <w:pStyle w:val="Compact"/>
              <w:jc w:val="left"/>
            </w:pPr>
            <w:r>
              <w:t xml:space="preserve">195</w:t>
            </w:r>
          </w:p>
        </w:tc>
        <w:tc>
          <w:tcPr/>
          <w:p>
            <w:pPr>
              <w:pStyle w:val="Compact"/>
              <w:jc w:val="left"/>
            </w:pPr>
            <w:r>
              <w:t xml:space="preserve">AE 1974, 85</w:t>
            </w:r>
          </w:p>
        </w:tc>
        <w:tc>
          <w:tcPr/>
          <w:p>
            <w:pPr>
              <w:pStyle w:val="Compact"/>
              <w:jc w:val="left"/>
            </w:pPr>
            <w:r>
              <w:t xml:space="preserve">EDB33615 (Coem. Calepodii)</w:t>
            </w:r>
          </w:p>
        </w:tc>
        <w:tc>
          <w:tcPr/>
          <w:p>
            <w:pPr>
              <w:pStyle w:val="Compact"/>
              <w:jc w:val="left"/>
            </w:pPr>
            <w:r>
              <w:t xml:space="preserve">concordant ; 377</w:t>
            </w:r>
          </w:p>
        </w:tc>
      </w:tr>
      <w:tr>
        <w:tc>
          <w:tcPr/>
          <w:p>
            <w:pPr>
              <w:pStyle w:val="Compact"/>
              <w:jc w:val="left"/>
            </w:pPr>
            <w:r>
              <w:t xml:space="preserve">241</w:t>
            </w:r>
          </w:p>
        </w:tc>
        <w:tc>
          <w:tcPr/>
          <w:p>
            <w:pPr>
              <w:pStyle w:val="Compact"/>
              <w:jc w:val="left"/>
            </w:pPr>
            <w:r>
              <w:t xml:space="preserve">AE 1999, 307</w:t>
            </w:r>
          </w:p>
        </w:tc>
        <w:tc>
          <w:tcPr/>
          <w:p>
            <w:pPr>
              <w:pStyle w:val="Compact"/>
              <w:jc w:val="left"/>
            </w:pPr>
            <w:r>
              <w:t xml:space="preserve">EDB42969 (conservation : S. Giovanni in Laterano)</w:t>
            </w:r>
          </w:p>
        </w:tc>
        <w:tc>
          <w:tcPr/>
          <w:p>
            <w:pPr>
              <w:pStyle w:val="Compact"/>
              <w:jc w:val="left"/>
            </w:pPr>
            <w:r>
              <w:t xml:space="preserve">concordant ; 383</w:t>
            </w:r>
          </w:p>
        </w:tc>
      </w:tr>
      <w:tr>
        <w:tc>
          <w:tcPr/>
          <w:p>
            <w:pPr>
              <w:pStyle w:val="Compact"/>
              <w:jc w:val="left"/>
            </w:pPr>
            <w:r>
              <w:t xml:space="preserve">304</w:t>
            </w:r>
          </w:p>
        </w:tc>
        <w:tc>
          <w:tcPr/>
          <w:p>
            <w:pPr>
              <w:pStyle w:val="Compact"/>
              <w:jc w:val="left"/>
            </w:pPr>
            <w:r>
              <w:t xml:space="preserve">AE 1979, 43</w:t>
            </w:r>
          </w:p>
        </w:tc>
        <w:tc>
          <w:tcPr/>
          <w:p>
            <w:pPr>
              <w:pStyle w:val="Compact"/>
              <w:jc w:val="left"/>
            </w:pPr>
            <w:r>
              <w:t xml:space="preserve">EDB27361</w:t>
            </w:r>
          </w:p>
        </w:tc>
        <w:tc>
          <w:tcPr/>
          <w:p>
            <w:pPr>
              <w:pStyle w:val="Compact"/>
              <w:jc w:val="left"/>
            </w:pPr>
            <w:r>
              <w:t xml:space="preserve">concordant ; 389</w:t>
            </w:r>
          </w:p>
        </w:tc>
      </w:tr>
      <w:tr>
        <w:tc>
          <w:tcPr/>
          <w:p>
            <w:pPr>
              <w:pStyle w:val="Compact"/>
              <w:jc w:val="left"/>
            </w:pPr>
            <w:r>
              <w:t xml:space="preserve">305</w:t>
            </w:r>
          </w:p>
        </w:tc>
        <w:tc>
          <w:tcPr/>
          <w:p>
            <w:pPr>
              <w:pStyle w:val="Compact"/>
              <w:jc w:val="left"/>
            </w:pPr>
            <w:r>
              <w:t xml:space="preserve">AE 1985, 60</w:t>
            </w:r>
          </w:p>
        </w:tc>
        <w:tc>
          <w:tcPr/>
          <w:p>
            <w:pPr>
              <w:pStyle w:val="Compact"/>
              <w:jc w:val="left"/>
            </w:pPr>
            <w:r>
              <w:t xml:space="preserve">EDB34442 (Ipogeo della Torretta)</w:t>
            </w:r>
          </w:p>
        </w:tc>
        <w:tc>
          <w:tcPr/>
          <w:p>
            <w:pPr>
              <w:pStyle w:val="Compact"/>
              <w:jc w:val="left"/>
            </w:pPr>
            <w:r>
              <w:t xml:space="preserve">concordant ; 389</w:t>
            </w:r>
          </w:p>
        </w:tc>
      </w:tr>
      <w:tr>
        <w:tc>
          <w:tcPr/>
          <w:p>
            <w:pPr>
              <w:pStyle w:val="Compact"/>
              <w:jc w:val="left"/>
            </w:pPr>
            <w:r>
              <w:t xml:space="preserve">307</w:t>
            </w:r>
          </w:p>
        </w:tc>
        <w:tc>
          <w:tcPr/>
          <w:p>
            <w:pPr>
              <w:pStyle w:val="Compact"/>
              <w:jc w:val="left"/>
            </w:pPr>
            <w:r>
              <w:t xml:space="preserve">Ferrua 1979, 1444</w:t>
            </w:r>
          </w:p>
        </w:tc>
        <w:tc>
          <w:tcPr/>
          <w:p>
            <w:pPr>
              <w:pStyle w:val="Compact"/>
              <w:jc w:val="left"/>
            </w:pPr>
            <w:r>
              <w:t xml:space="preserve">EDB31230 =</w:t>
            </w:r>
            <w:r>
              <w:t xml:space="preserve"> </w:t>
            </w:r>
            <w:r>
              <w:rPr>
                <w:bCs/>
                <w:b/>
              </w:rPr>
              <w:t xml:space="preserve">ICVR I, 1444</w:t>
            </w:r>
          </w:p>
        </w:tc>
        <w:tc>
          <w:tcPr/>
          <w:p>
            <w:pPr>
              <w:pStyle w:val="Compact"/>
              <w:jc w:val="left"/>
            </w:pPr>
            <w:r>
              <w:t xml:space="preserve">concordant ; 389. La notice a donc un numéro ICUR.</w:t>
            </w:r>
          </w:p>
        </w:tc>
      </w:tr>
      <w:tr>
        <w:tc>
          <w:tcPr/>
          <w:p>
            <w:pPr>
              <w:pStyle w:val="Compact"/>
              <w:jc w:val="left"/>
            </w:pPr>
            <w:r>
              <w:t xml:space="preserve">351</w:t>
            </w:r>
          </w:p>
        </w:tc>
        <w:tc>
          <w:tcPr/>
          <w:p>
            <w:pPr>
              <w:pStyle w:val="Compact"/>
              <w:jc w:val="left"/>
            </w:pPr>
            <w:r>
              <w:t xml:space="preserve">AE 1988, 111</w:t>
            </w:r>
          </w:p>
        </w:tc>
        <w:tc>
          <w:tcPr/>
          <w:p>
            <w:pPr>
              <w:pStyle w:val="Compact"/>
              <w:jc w:val="left"/>
            </w:pPr>
            <w:r>
              <w:t xml:space="preserve">EDB41240 (Coem. s. Theclae)</w:t>
            </w:r>
          </w:p>
        </w:tc>
        <w:tc>
          <w:tcPr/>
          <w:p>
            <w:pPr>
              <w:pStyle w:val="Compact"/>
              <w:jc w:val="left"/>
            </w:pPr>
            <w:r>
              <w:t xml:space="preserve">concordant ; 393</w:t>
            </w:r>
          </w:p>
        </w:tc>
      </w:tr>
      <w:tr>
        <w:tc>
          <w:tcPr/>
          <w:p>
            <w:pPr>
              <w:pStyle w:val="Compact"/>
              <w:jc w:val="left"/>
            </w:pPr>
            <w:r>
              <w:t xml:space="preserve">362</w:t>
            </w:r>
          </w:p>
        </w:tc>
        <w:tc>
          <w:tcPr/>
          <w:p>
            <w:pPr>
              <w:pStyle w:val="Compact"/>
              <w:jc w:val="left"/>
            </w:pPr>
            <w:r>
              <w:t xml:space="preserve">CEACelio 311</w:t>
            </w:r>
          </w:p>
        </w:tc>
        <w:tc>
          <w:tcPr/>
          <w:p>
            <w:pPr>
              <w:pStyle w:val="Compact"/>
              <w:jc w:val="left"/>
            </w:pPr>
            <w:r>
              <w:t xml:space="preserve">EDB43058 (Antiquarium del Celio), par le texte</w:t>
            </w:r>
          </w:p>
        </w:tc>
        <w:tc>
          <w:tcPr/>
          <w:p>
            <w:pPr>
              <w:pStyle w:val="Compact"/>
              <w:jc w:val="left"/>
            </w:pPr>
            <w:r>
              <w:t xml:space="preserve">écarts à examiner ; 394</w:t>
            </w:r>
          </w:p>
        </w:tc>
      </w:tr>
      <w:tr>
        <w:tc>
          <w:tcPr/>
          <w:p>
            <w:pPr>
              <w:pStyle w:val="Compact"/>
              <w:jc w:val="left"/>
            </w:pPr>
            <w:r>
              <w:t xml:space="preserve">368</w:t>
            </w:r>
          </w:p>
        </w:tc>
        <w:tc>
          <w:tcPr/>
          <w:p>
            <w:pPr>
              <w:pStyle w:val="Compact"/>
              <w:jc w:val="left"/>
            </w:pPr>
            <w:r>
              <w:t xml:space="preserve">AE 2001, 526</w:t>
            </w:r>
          </w:p>
        </w:tc>
        <w:tc>
          <w:tcPr/>
          <w:p>
            <w:pPr>
              <w:pStyle w:val="Compact"/>
              <w:jc w:val="left"/>
            </w:pPr>
            <w:r>
              <w:t xml:space="preserve">EDB41941 (ex-vigna Chiaraviglio)</w:t>
            </w:r>
          </w:p>
        </w:tc>
        <w:tc>
          <w:tcPr/>
          <w:p>
            <w:pPr>
              <w:pStyle w:val="Compact"/>
              <w:jc w:val="left"/>
            </w:pPr>
            <w:r>
              <w:t xml:space="preserve">concordant ; 395</w:t>
            </w:r>
          </w:p>
        </w:tc>
      </w:tr>
      <w:tr>
        <w:tc>
          <w:tcPr/>
          <w:p>
            <w:pPr>
              <w:pStyle w:val="Compact"/>
              <w:jc w:val="left"/>
            </w:pPr>
            <w:r>
              <w:t xml:space="preserve">369</w:t>
            </w:r>
          </w:p>
        </w:tc>
        <w:tc>
          <w:tcPr/>
          <w:p>
            <w:pPr>
              <w:pStyle w:val="Compact"/>
              <w:jc w:val="left"/>
            </w:pPr>
            <w:r>
              <w:t xml:space="preserve">HEp 2006, 435 = AE 2006, 240</w:t>
            </w:r>
          </w:p>
        </w:tc>
        <w:tc>
          <w:tcPr/>
          <w:p>
            <w:pPr>
              <w:pStyle w:val="Compact"/>
              <w:jc w:val="left"/>
            </w:pPr>
            <w:r>
              <w:t xml:space="preserve">EDB42064,</w:t>
            </w:r>
            <w:r>
              <w:t xml:space="preserve"> </w:t>
            </w:r>
            <w:r>
              <w:rPr>
                <w:iCs/>
                <w:i/>
              </w:rPr>
              <w:t xml:space="preserve">Incertae originis</w:t>
            </w:r>
            <w:r>
              <w:t xml:space="preserve">,</w:t>
            </w:r>
            <w:r>
              <w:t xml:space="preserve"> </w:t>
            </w:r>
            <w:r>
              <w:rPr>
                <w:bCs/>
                <w:b/>
              </w:rPr>
              <w:t xml:space="preserve">conservée à Valencia (Espagne), musée de préhistoire</w:t>
            </w:r>
          </w:p>
        </w:tc>
        <w:tc>
          <w:tcPr/>
          <w:p>
            <w:pPr>
              <w:pStyle w:val="Compact"/>
              <w:jc w:val="left"/>
            </w:pPr>
            <w:r>
              <w:t xml:space="preserve">concordant ; 395.</w:t>
            </w:r>
            <w:r>
              <w:t xml:space="preserve"> </w:t>
            </w:r>
            <w:r>
              <w:rPr>
                <w:bCs/>
                <w:b/>
              </w:rPr>
              <w:t xml:space="preserve">Provenance romaine non établie</w:t>
            </w:r>
            <w:r>
              <w:t xml:space="preserve">, à signaler comme pour le n° 439.</w:t>
            </w:r>
          </w:p>
        </w:tc>
      </w:tr>
      <w:tr>
        <w:tc>
          <w:tcPr/>
          <w:p>
            <w:pPr>
              <w:pStyle w:val="Compact"/>
              <w:jc w:val="left"/>
            </w:pPr>
            <w:r>
              <w:t xml:space="preserve">396</w:t>
            </w:r>
          </w:p>
        </w:tc>
        <w:tc>
          <w:tcPr/>
          <w:p>
            <w:pPr>
              <w:pStyle w:val="Compact"/>
              <w:jc w:val="left"/>
            </w:pPr>
            <w:r>
              <w:t xml:space="preserve">AE 1994, 163</w:t>
            </w:r>
          </w:p>
        </w:tc>
        <w:tc>
          <w:tcPr/>
          <w:p>
            <w:pPr>
              <w:pStyle w:val="Compact"/>
              <w:jc w:val="left"/>
            </w:pPr>
            <w:r>
              <w:t xml:space="preserve">EDB42676 (Antiquarium del Celio)</w:t>
            </w:r>
          </w:p>
        </w:tc>
        <w:tc>
          <w:tcPr/>
          <w:p>
            <w:pPr>
              <w:pStyle w:val="Compact"/>
              <w:jc w:val="left"/>
            </w:pPr>
            <w:r>
              <w:t xml:space="preserve">concordant ; 397</w:t>
            </w:r>
          </w:p>
        </w:tc>
      </w:tr>
      <w:tr>
        <w:tc>
          <w:tcPr/>
          <w:p>
            <w:pPr>
              <w:pStyle w:val="Compact"/>
              <w:jc w:val="left"/>
            </w:pPr>
            <w:r>
              <w:t xml:space="preserve">417</w:t>
            </w:r>
          </w:p>
        </w:tc>
        <w:tc>
          <w:tcPr/>
          <w:p>
            <w:pPr>
              <w:pStyle w:val="Compact"/>
              <w:jc w:val="left"/>
            </w:pPr>
            <w:r>
              <w:t xml:space="preserve">AE 1984, 51</w:t>
            </w:r>
          </w:p>
        </w:tc>
        <w:tc>
          <w:tcPr/>
          <w:p>
            <w:pPr>
              <w:pStyle w:val="Compact"/>
              <w:jc w:val="left"/>
            </w:pPr>
            <w:r>
              <w:t xml:space="preserve">EDB38747 (Ipogeo della Torretta), par le texte</w:t>
            </w:r>
          </w:p>
        </w:tc>
        <w:tc>
          <w:tcPr/>
          <w:p>
            <w:pPr>
              <w:pStyle w:val="Compact"/>
              <w:jc w:val="left"/>
            </w:pPr>
            <w:r>
              <w:t xml:space="preserve">concordant ; 398</w:t>
            </w:r>
          </w:p>
        </w:tc>
      </w:tr>
      <w:tr>
        <w:tc>
          <w:tcPr/>
          <w:p>
            <w:pPr>
              <w:pStyle w:val="Compact"/>
              <w:jc w:val="left"/>
            </w:pPr>
            <w:r>
              <w:t xml:space="preserve">448</w:t>
            </w:r>
          </w:p>
        </w:tc>
        <w:tc>
          <w:tcPr/>
          <w:p>
            <w:pPr>
              <w:pStyle w:val="Compact"/>
              <w:jc w:val="left"/>
            </w:pPr>
            <w:r>
              <w:t xml:space="preserve">AE 2001, 527</w:t>
            </w:r>
          </w:p>
        </w:tc>
        <w:tc>
          <w:tcPr/>
          <w:p>
            <w:pPr>
              <w:pStyle w:val="Compact"/>
              <w:jc w:val="left"/>
            </w:pPr>
            <w:r>
              <w:t xml:space="preserve">EDB41942 (ex-vigna Chiaraviglio)</w:t>
            </w:r>
          </w:p>
        </w:tc>
        <w:tc>
          <w:tcPr/>
          <w:p>
            <w:pPr>
              <w:pStyle w:val="Compact"/>
              <w:jc w:val="left"/>
            </w:pPr>
            <w:r>
              <w:t xml:space="preserve">écarts à examiner ; 401</w:t>
            </w:r>
          </w:p>
        </w:tc>
      </w:tr>
      <w:tr>
        <w:tc>
          <w:tcPr/>
          <w:p>
            <w:pPr>
              <w:pStyle w:val="Compact"/>
              <w:jc w:val="left"/>
            </w:pPr>
            <w:r>
              <w:t xml:space="preserve">83, 132, 196, 385, 387, 429</w:t>
            </w:r>
          </w:p>
        </w:tc>
        <w:tc>
          <w:tcPr/>
          <w:p>
            <w:pPr>
              <w:pStyle w:val="Compact"/>
              <w:jc w:val="left"/>
            </w:pPr>
            <w:r>
              <w:t xml:space="preserve">AE 2010, 207 ; AE 2003, 216 ; AE 1994, 263 ; AE 2016, 170 ; Carletti 2008, 177 ; CIL VI 8405</w:t>
            </w:r>
          </w:p>
        </w:tc>
        <w:tc>
          <w:tcPr/>
          <w:p>
            <w:pPr>
              <w:pStyle w:val="Compact"/>
              <w:jc w:val="left"/>
            </w:pPr>
            <w:r>
              <w:t xml:space="preserve">EDCS seulement (EDCS-59400075, 29900387, 02700284, 75200321, 71500011, 18200424)</w:t>
            </w:r>
          </w:p>
        </w:tc>
        <w:tc>
          <w:tcPr/>
          <w:p>
            <w:pPr>
              <w:pStyle w:val="Compact"/>
              <w:jc w:val="left"/>
            </w:pPr>
            <w:r>
              <w:rPr>
                <w:bCs/>
                <w:b/>
              </w:rPr>
              <w:t xml:space="preserve">non trouvées</w:t>
            </w:r>
            <w:r>
              <w:t xml:space="preserve"> </w:t>
            </w:r>
            <w:r>
              <w:t xml:space="preserve">dans l’EDB ni l’EDH. Lot 5 : la page EDB 2069 a été lue sans résultat. Les fiches EDCS actuelles (edcs.hist.uzh.ch) ne donnent</w:t>
            </w:r>
            <w:r>
              <w:t xml:space="preserve"> </w:t>
            </w:r>
            <w:r>
              <w:rPr>
                <w:bCs/>
                <w:b/>
              </w:rPr>
              <w:t xml:space="preserve">aucune équivalence ICUR</w:t>
            </w:r>
            <w:r>
              <w:t xml:space="preserve">, et leur texte est identique à celui de la v2.0. Une photographie est signalée pour EDCS-71500011 (n° 387) seulement.</w:t>
            </w:r>
            <w:r>
              <w:t xml:space="preserve"> </w:t>
            </w:r>
            <w:r>
              <w:rPr>
                <w:bCs/>
                <w:b/>
              </w:rPr>
              <w:t xml:space="preserve">Aucun second témoin.</w:t>
            </w:r>
          </w:p>
        </w:tc>
      </w:tr>
    </w:tbl>
    <w:bookmarkStart w:id="41" w:name="X42279274ee70f48dd7f90f6d9c37f13bc853bae"/>
    <w:p>
      <w:pPr>
        <w:pStyle w:val="Heading3"/>
      </w:pPr>
      <w:r>
        <w:t xml:space="preserve">n° 98 (</w:t>
      </w:r>
      <w:r>
        <w:rPr>
          <w:iCs/>
          <w:i/>
        </w:rPr>
        <w:t xml:space="preserve">Hyppolytus</w:t>
      </w:r>
      <w:r>
        <w:t xml:space="preserve">) : erreur de datation, la notice sort du corpus</w:t>
      </w:r>
    </w:p>
    <w:p>
      <w:pPr>
        <w:numPr>
          <w:ilvl w:val="0"/>
          <w:numId w:val="1016"/>
        </w:numPr>
        <w:pStyle w:val="Compact"/>
      </w:pPr>
      <w:r>
        <w:rPr>
          <w:bCs/>
          <w:b/>
        </w:rPr>
        <w:t xml:space="preserve">Texte v2.0 (EDCS).</w:t>
      </w:r>
      <w:r>
        <w:t xml:space="preserve"> </w:t>
      </w:r>
      <w:r>
        <w:rPr>
          <w:rStyle w:val="VerbatimChar"/>
        </w:rPr>
        <w:t xml:space="preserve">Dep(ositus) (H)yppolytus(!) in p[ace 3 consulatu] / Fl(avi) Severin[i et Fl(avi) Dagalaiphi]</w:t>
      </w:r>
      <w:r>
        <w:t xml:space="preserve">. Année retenue par la v2.0 : 366, « consulat lu concordant », consul identifié :</w:t>
      </w:r>
      <w:r>
        <w:t xml:space="preserve"> </w:t>
      </w:r>
      <w:r>
        <w:rPr>
          <w:iCs/>
          <w:i/>
        </w:rPr>
        <w:t xml:space="preserve">Dagalaifus</w:t>
      </w:r>
      <w:r>
        <w:t xml:space="preserve">.</w:t>
      </w:r>
    </w:p>
    <w:p>
      <w:pPr>
        <w:numPr>
          <w:ilvl w:val="0"/>
          <w:numId w:val="1016"/>
        </w:numPr>
        <w:pStyle w:val="Compact"/>
      </w:pPr>
      <w:r>
        <w:rPr>
          <w:bCs/>
          <w:b/>
        </w:rPr>
        <w:t xml:space="preserve">Erreur.</w:t>
      </w:r>
      <w:r>
        <w:t xml:space="preserve"> </w:t>
      </w:r>
      <w:r>
        <w:rPr>
          <w:iCs/>
          <w:i/>
        </w:rPr>
        <w:t xml:space="preserve">Dagalaiphi</w:t>
      </w:r>
      <w:r>
        <w:t xml:space="preserve"> </w:t>
      </w:r>
      <w:r>
        <w:t xml:space="preserve">est</w:t>
      </w:r>
      <w:r>
        <w:t xml:space="preserve"> </w:t>
      </w:r>
      <w:r>
        <w:rPr>
          <w:bCs/>
          <w:b/>
        </w:rPr>
        <w:t xml:space="preserve">entièrement restitué</w:t>
      </w:r>
      <w:r>
        <w:t xml:space="preserve"> </w:t>
      </w:r>
      <w:r>
        <w:t xml:space="preserve">(entre crochets), alors que</w:t>
      </w:r>
      <w:r>
        <w:t xml:space="preserve"> </w:t>
      </w:r>
      <w:r>
        <w:rPr>
          <w:iCs/>
          <w:i/>
        </w:rPr>
        <w:t xml:space="preserve">Severin[i]</w:t>
      </w:r>
      <w:r>
        <w:t xml:space="preserve"> </w:t>
      </w:r>
      <w:r>
        <w:t xml:space="preserve">est</w:t>
      </w:r>
      <w:r>
        <w:t xml:space="preserve"> </w:t>
      </w:r>
      <w:r>
        <w:rPr>
          <w:bCs/>
          <w:b/>
        </w:rPr>
        <w:t xml:space="preserve">lu</w:t>
      </w:r>
      <w:r>
        <w:t xml:space="preserve">. L’identificateur de la v2.0 a retenu le seul nom restitué, compatible avec 366 (Gratien et Dagalaifus), et ignoré le nom lu.</w:t>
      </w:r>
    </w:p>
    <w:p>
      <w:pPr>
        <w:numPr>
          <w:ilvl w:val="0"/>
          <w:numId w:val="1016"/>
        </w:numPr>
        <w:pStyle w:val="Compact"/>
      </w:pPr>
      <w:r>
        <w:rPr>
          <w:bCs/>
          <w:b/>
        </w:rPr>
        <w:t xml:space="preserve">EDB20076 = ICVR 17578.</w:t>
      </w:r>
      <w:r>
        <w:t xml:space="preserve"> </w:t>
      </w:r>
      <w:r>
        <w:rPr>
          <w:iCs/>
          <w:i/>
        </w:rPr>
        <w:t xml:space="preserve">Coem. Cyriacae ad s. Laurentium</w:t>
      </w:r>
      <w:r>
        <w:t xml:space="preserve"> </w:t>
      </w:r>
      <w:r>
        <w:t xml:space="preserve">; conservation : Musei Capitolini. Bibliographie : CLRE, 680. Texte :</w:t>
      </w:r>
      <w:r>
        <w:t xml:space="preserve"> </w:t>
      </w:r>
      <w:r>
        <w:rPr>
          <w:rStyle w:val="VerbatimChar"/>
        </w:rPr>
        <w:t xml:space="preserve">dep(ositus) Yppolytus in p[ace ---] / Fl(avio) Severin[o v(iro) c(larissimo) cons(ule)]</w:t>
      </w:r>
      <w:r>
        <w:t xml:space="preserve">.</w:t>
      </w:r>
      <w:r>
        <w:t xml:space="preserve"> </w:t>
      </w:r>
      <w:r>
        <w:rPr>
          <w:bCs/>
          <w:b/>
        </w:rPr>
        <w:t xml:space="preserve">Date EDB : 461 ; 482.</w:t>
      </w:r>
    </w:p>
    <w:p>
      <w:pPr>
        <w:numPr>
          <w:ilvl w:val="0"/>
          <w:numId w:val="1016"/>
        </w:numPr>
        <w:pStyle w:val="Compact"/>
      </w:pPr>
      <w:r>
        <w:rPr>
          <w:bCs/>
          <w:b/>
        </w:rPr>
        <w:t xml:space="preserve">EDH HD028015.</w:t>
      </w:r>
      <w:r>
        <w:t xml:space="preserve"> </w:t>
      </w:r>
      <w:r>
        <w:t xml:space="preserve">AE 1914, 68 = ICUR n. s. 17578. Même lecture que l’EDCS.</w:t>
      </w:r>
    </w:p>
    <w:p>
      <w:pPr>
        <w:numPr>
          <w:ilvl w:val="0"/>
          <w:numId w:val="1016"/>
        </w:numPr>
        <w:pStyle w:val="Compact"/>
      </w:pPr>
      <w:r>
        <w:rPr>
          <w:bCs/>
          <w:b/>
        </w:rPr>
        <w:t xml:space="preserve">Conclusion (certitude : très probable).</w:t>
      </w:r>
      <w:r>
        <w:t xml:space="preserve"> </w:t>
      </w:r>
      <w:r>
        <w:t xml:space="preserve">Le seul consul lu est Fl. Severinus. Dans les fastes, Severinus est consul en 461 (avec Dagalaifus, ce qui explique la restitution de l’AE) et un Severinus iunior en 482. Aucun Severinus n’est consul en 366. La notice est donc datée de</w:t>
      </w:r>
      <w:r>
        <w:t xml:space="preserve"> </w:t>
      </w:r>
      <w:r>
        <w:rPr>
          <w:bCs/>
          <w:b/>
        </w:rPr>
        <w:t xml:space="preserve">461 ou 482</w:t>
      </w:r>
      <w:r>
        <w:t xml:space="preserve"> </w:t>
      </w:r>
      <w:r>
        <w:t xml:space="preserve">et</w:t>
      </w:r>
      <w:r>
        <w:t xml:space="preserve"> </w:t>
      </w:r>
      <w:r>
        <w:rPr>
          <w:bCs/>
          <w:b/>
        </w:rPr>
        <w:t xml:space="preserve">sort du corpus 340–403</w:t>
      </w:r>
      <w:r>
        <w:t xml:space="preserve">. À contrôler sur CLRE p. 680, cité par l’EDB.</w:t>
      </w:r>
    </w:p>
    <w:p>
      <w:pPr>
        <w:numPr>
          <w:ilvl w:val="0"/>
          <w:numId w:val="1016"/>
        </w:numPr>
        <w:pStyle w:val="Compact"/>
      </w:pPr>
      <w:r>
        <w:rPr>
          <w:bCs/>
          <w:b/>
        </w:rPr>
        <w:t xml:space="preserve">Portée.</w:t>
      </w:r>
      <w:r>
        <w:t xml:space="preserve"> </w:t>
      </w:r>
      <w:r>
        <w:t xml:space="preserve">L’identificateur consulaire de la v2.0 a pu, ailleurs aussi, compter comme « lu » un nom restitué. Le contrôle systématique a été fait au lot 5 (§ G).</w:t>
      </w:r>
    </w:p>
    <w:bookmarkEnd w:id="41"/>
    <w:bookmarkStart w:id="42" w:name="bilan-de-taille-du-corpus-lot-4"/>
    <w:p>
      <w:pPr>
        <w:pStyle w:val="Heading3"/>
      </w:pPr>
      <w:r>
        <w:t xml:space="preserve">Bilan de taille du corpus (lot 4)</w:t>
      </w:r>
    </w:p>
    <w:p>
      <w:pPr>
        <w:pStyle w:val="FirstParagraph"/>
      </w:pPr>
      <w:r>
        <w:t xml:space="preserve">478 notices. On retire :</w:t>
      </w:r>
      <w:r>
        <w:t xml:space="preserve"> </w:t>
      </w:r>
      <w:r>
        <w:t xml:space="preserve">- les doublons 106, 282 et 329 ;</w:t>
      </w:r>
      <w:r>
        <w:t xml:space="preserve"> </w:t>
      </w:r>
      <w:r>
        <w:t xml:space="preserve">- le n° 394, fusionné avec le 393 ;</w:t>
      </w:r>
      <w:r>
        <w:t xml:space="preserve"> </w:t>
      </w:r>
      <w:r>
        <w:t xml:space="preserve">- le n° 98, hors période.</w:t>
      </w:r>
    </w:p>
    <w:p>
      <w:pPr>
        <w:pStyle w:val="BodyText"/>
      </w:pPr>
      <w:r>
        <w:t xml:space="preserve">Il reste</w:t>
      </w:r>
      <w:r>
        <w:t xml:space="preserve"> </w:t>
      </w:r>
      <w:r>
        <w:rPr>
          <w:bCs/>
          <w:b/>
        </w:rPr>
        <w:t xml:space="preserve">473 textes distincts datés de 340–403</w:t>
      </w:r>
      <w:r>
        <w:t xml:space="preserve">, en conservant pour l’instant les n° 439 et 369, de provenance incertaine.</w:t>
      </w:r>
    </w:p>
    <w:bookmarkEnd w:id="42"/>
    <w:bookmarkEnd w:id="43"/>
    <w:bookmarkStart w:id="49" w:name="X3eaedcdddbd815d06e9d2e80e5e30a17527ef1d"/>
    <w:p>
      <w:pPr>
        <w:pStyle w:val="Heading2"/>
      </w:pPr>
      <w:r>
        <w:t xml:space="preserve">G. Consuls lus, abrégés ou restitués (lot 5)</w:t>
      </w:r>
    </w:p>
    <w:bookmarkStart w:id="44" w:name="question"/>
    <w:p>
      <w:pPr>
        <w:pStyle w:val="Heading3"/>
      </w:pPr>
      <w:r>
        <w:t xml:space="preserve">Question</w:t>
      </w:r>
    </w:p>
    <w:p>
      <w:pPr>
        <w:pStyle w:val="FirstParagraph"/>
      </w:pPr>
      <w:r>
        <w:t xml:space="preserve">Pour 460 notices, la v2.0 indique « datation directe (consulat lu) ». Deux autres sont classées « directe, discordante ». Le cas du n° 98 (§ F) montre qu’un nom</w:t>
      </w:r>
      <w:r>
        <w:t xml:space="preserve"> </w:t>
      </w:r>
      <w:r>
        <w:rPr>
          <w:bCs/>
          <w:b/>
        </w:rPr>
        <w:t xml:space="preserve">restitué</w:t>
      </w:r>
      <w:r>
        <w:t xml:space="preserve"> </w:t>
      </w:r>
      <w:r>
        <w:t xml:space="preserve">entre crochets a pu être compté comme lu. Il faut donc établir, notice par notice, sur quoi repose l’année : un nom gravé, un nom partiellement conservé, de simples initiales, ou une restitution d’éditeur.</w:t>
      </w:r>
    </w:p>
    <w:bookmarkEnd w:id="44"/>
    <w:bookmarkStart w:id="45" w:name="méthode"/>
    <w:p>
      <w:pPr>
        <w:pStyle w:val="Heading3"/>
      </w:pPr>
      <w:r>
        <w:t xml:space="preserve">Méthode</w:t>
      </w:r>
    </w:p>
    <w:p>
      <w:pPr>
        <w:numPr>
          <w:ilvl w:val="0"/>
          <w:numId w:val="1017"/>
        </w:numPr>
        <w:pStyle w:val="Compact"/>
      </w:pPr>
      <w:r>
        <w:rPr>
          <w:bCs/>
          <w:b/>
        </w:rPr>
        <w:t xml:space="preserve">Script.</w:t>
      </w:r>
      <w:r>
        <w:t xml:space="preserve"> </w:t>
      </w:r>
      <w:r>
        <w:rPr>
          <w:rStyle w:val="VerbatimChar"/>
        </w:rPr>
        <w:t xml:space="preserve">05_scripts/consuls_lus_restitues.py</w:t>
      </w:r>
      <w:r>
        <w:t xml:space="preserve">. Résultat :</w:t>
      </w:r>
      <w:r>
        <w:t xml:space="preserve"> </w:t>
      </w:r>
      <w:r>
        <w:rPr>
          <w:rStyle w:val="VerbatimChar"/>
        </w:rPr>
        <w:t xml:space="preserve">02_verifications/consuls_lus_restitues.csv</w:t>
      </w:r>
      <w:r>
        <w:t xml:space="preserve">, 462 lignes.</w:t>
      </w:r>
    </w:p>
    <w:p>
      <w:pPr>
        <w:numPr>
          <w:ilvl w:val="0"/>
          <w:numId w:val="1017"/>
        </w:numPr>
        <w:pStyle w:val="Compact"/>
      </w:pPr>
      <w:r>
        <w:rPr>
          <w:bCs/>
          <w:b/>
        </w:rPr>
        <w:t xml:space="preserve">Texte de référence.</w:t>
      </w:r>
      <w:r>
        <w:t xml:space="preserve"> </w:t>
      </w:r>
      <w:r>
        <w:t xml:space="preserve">Le texte EDCS de la v2.0, en conventions de Leyde.</w:t>
      </w:r>
    </w:p>
    <w:p>
      <w:pPr>
        <w:numPr>
          <w:ilvl w:val="0"/>
          <w:numId w:val="1017"/>
        </w:numPr>
        <w:pStyle w:val="Compact"/>
      </w:pPr>
      <w:r>
        <w:rPr>
          <w:bCs/>
          <w:b/>
        </w:rPr>
        <w:t xml:space="preserve">État de chaque lettre.</w:t>
      </w:r>
      <w:r>
        <w:t xml:space="preserve"> </w:t>
      </w:r>
      <w:r>
        <w:t xml:space="preserve">Une lettre est classée en trois états :</w:t>
      </w:r>
    </w:p>
    <w:p>
      <w:pPr>
        <w:numPr>
          <w:ilvl w:val="1"/>
          <w:numId w:val="1018"/>
        </w:numPr>
        <w:pStyle w:val="Compact"/>
      </w:pPr>
      <w:r>
        <w:rPr>
          <w:iCs/>
          <w:i/>
        </w:rPr>
        <w:t xml:space="preserve">gravée</w:t>
      </w:r>
      <w:r>
        <w:t xml:space="preserve"> </w:t>
      </w:r>
      <w:r>
        <w:t xml:space="preserve">: hors crochets et hors parenthèses ;</w:t>
      </w:r>
    </w:p>
    <w:p>
      <w:pPr>
        <w:numPr>
          <w:ilvl w:val="1"/>
          <w:numId w:val="1018"/>
        </w:numPr>
        <w:pStyle w:val="Compact"/>
      </w:pPr>
      <w:r>
        <w:rPr>
          <w:iCs/>
          <w:i/>
        </w:rPr>
        <w:t xml:space="preserve">restituée</w:t>
      </w:r>
      <w:r>
        <w:t xml:space="preserve"> </w:t>
      </w:r>
      <w:r>
        <w:t xml:space="preserve">: entre</w:t>
      </w:r>
      <w:r>
        <w:t xml:space="preserve"> </w:t>
      </w:r>
      <w:r>
        <w:rPr>
          <w:rStyle w:val="VerbatimChar"/>
        </w:rPr>
        <w:t xml:space="preserve">[ ]</w:t>
      </w:r>
      <w:r>
        <w:t xml:space="preserve"> </w:t>
      </w:r>
      <w:r>
        <w:t xml:space="preserve">; un</w:t>
      </w:r>
      <w:r>
        <w:t xml:space="preserve"> </w:t>
      </w:r>
      <w:r>
        <w:rPr>
          <w:rStyle w:val="VerbatimChar"/>
        </w:rPr>
        <w:t xml:space="preserve">]</w:t>
      </w:r>
      <w:r>
        <w:t xml:space="preserve"> </w:t>
      </w:r>
      <w:r>
        <w:t xml:space="preserve">initial sans</w:t>
      </w:r>
      <w:r>
        <w:t xml:space="preserve"> </w:t>
      </w:r>
      <w:r>
        <w:rPr>
          <w:rStyle w:val="VerbatimChar"/>
        </w:rPr>
        <w:t xml:space="preserve">[</w:t>
      </w:r>
      <w:r>
        <w:t xml:space="preserve"> </w:t>
      </w:r>
      <w:r>
        <w:t xml:space="preserve">qui le précède met le début du texte en état restitué ;</w:t>
      </w:r>
    </w:p>
    <w:p>
      <w:pPr>
        <w:numPr>
          <w:ilvl w:val="1"/>
          <w:numId w:val="1018"/>
        </w:numPr>
        <w:pStyle w:val="Compact"/>
      </w:pPr>
      <w:r>
        <w:rPr>
          <w:iCs/>
          <w:i/>
        </w:rPr>
        <w:t xml:space="preserve">développée</w:t>
      </w:r>
      <w:r>
        <w:t xml:space="preserve"> </w:t>
      </w:r>
      <w:r>
        <w:t xml:space="preserve">: entre</w:t>
      </w:r>
      <w:r>
        <w:t xml:space="preserve"> </w:t>
      </w:r>
      <w:r>
        <w:rPr>
          <w:rStyle w:val="VerbatimChar"/>
        </w:rPr>
        <w:t xml:space="preserve">( )</w:t>
      </w:r>
      <w:r>
        <w:t xml:space="preserve">, c’est-à-dire ajoutée par l’éditeur pour développer une abréviation.</w:t>
      </w:r>
    </w:p>
    <w:p>
      <w:pPr>
        <w:numPr>
          <w:ilvl w:val="0"/>
          <w:numId w:val="1017"/>
        </w:numPr>
        <w:pStyle w:val="Compact"/>
      </w:pPr>
      <w:r>
        <w:rPr>
          <w:bCs/>
          <w:b/>
        </w:rPr>
        <w:t xml:space="preserve">Normalisation.</w:t>
      </w:r>
      <w:r>
        <w:t xml:space="preserve"> </w:t>
      </w:r>
      <w:r>
        <w:t xml:space="preserve">Les corrections</w:t>
      </w:r>
      <w:r>
        <w:t xml:space="preserve"> </w:t>
      </w:r>
      <w:r>
        <w:rPr>
          <w:rStyle w:val="VerbatimChar"/>
        </w:rPr>
        <w:t xml:space="preserve">&lt;x=y&gt;</w:t>
      </w:r>
      <w:r>
        <w:t xml:space="preserve"> </w:t>
      </w:r>
      <w:r>
        <w:t xml:space="preserve">sont lues dans leur forme corrigée. Les lettres superflues</w:t>
      </w:r>
      <w:r>
        <w:t xml:space="preserve"> </w:t>
      </w:r>
      <w:r>
        <w:rPr>
          <w:rStyle w:val="VerbatimChar"/>
        </w:rPr>
        <w:t xml:space="preserve">{ }</w:t>
      </w:r>
      <w:r>
        <w:t xml:space="preserve"> </w:t>
      </w:r>
      <w:r>
        <w:t xml:space="preserve">sont supprimées. Les coupures de mot en fin de ligne (</w:t>
      </w:r>
      <w:r>
        <w:rPr>
          <w:rStyle w:val="VerbatimChar"/>
        </w:rPr>
        <w:t xml:space="preserve">cu/m</w:t>
      </w:r>
      <w:r>
        <w:t xml:space="preserve">) sont recollées.</w:t>
      </w:r>
    </w:p>
    <w:p>
      <w:pPr>
        <w:numPr>
          <w:ilvl w:val="0"/>
          <w:numId w:val="1017"/>
        </w:numPr>
        <w:pStyle w:val="Compact"/>
      </w:pPr>
      <w:r>
        <w:rPr>
          <w:bCs/>
          <w:b/>
        </w:rPr>
        <w:t xml:space="preserve">Recherche des noms.</w:t>
      </w:r>
      <w:r>
        <w:t xml:space="preserve"> </w:t>
      </w:r>
      <w:r>
        <w:t xml:space="preserve">Pour chaque consul de la liste v2.0 (« consuls identifiés »), le script cherche les radicaux usuels du nom, latins et grecs, avec les variantes graphiques attestées dans le corpus (</w:t>
      </w:r>
      <w:r>
        <w:rPr>
          <w:iCs/>
          <w:i/>
        </w:rPr>
        <w:t xml:space="preserve">Ricomere</w:t>
      </w:r>
      <w:r>
        <w:t xml:space="preserve">,</w:t>
      </w:r>
      <w:r>
        <w:t xml:space="preserve"> </w:t>
      </w:r>
      <w:r>
        <w:rPr>
          <w:iCs/>
          <w:i/>
        </w:rPr>
        <w:t xml:space="preserve">Fraudito</w:t>
      </w:r>
      <w:r>
        <w:t xml:space="preserve">,</w:t>
      </w:r>
      <w:r>
        <w:t xml:space="preserve"> </w:t>
      </w:r>
      <w:r>
        <w:rPr>
          <w:iCs/>
          <w:i/>
        </w:rPr>
        <w:t xml:space="preserve">Aronteo</w:t>
      </w:r>
      <w:r>
        <w:t xml:space="preserve">…). Il compte les lettres</w:t>
      </w:r>
      <w:r>
        <w:t xml:space="preserve"> </w:t>
      </w:r>
      <w:r>
        <w:rPr>
          <w:bCs/>
          <w:b/>
        </w:rPr>
        <w:t xml:space="preserve">gravées</w:t>
      </w:r>
      <w:r>
        <w:t xml:space="preserve"> </w:t>
      </w:r>
      <w:r>
        <w:t xml:space="preserve">du mot qui contient le radical.</w:t>
      </w:r>
    </w:p>
    <w:p>
      <w:pPr>
        <w:numPr>
          <w:ilvl w:val="0"/>
          <w:numId w:val="1017"/>
        </w:numPr>
        <w:pStyle w:val="Compact"/>
      </w:pPr>
      <w:r>
        <w:rPr>
          <w:bCs/>
          <w:b/>
        </w:rPr>
        <w:t xml:space="preserve">Niveaux</w:t>
      </w:r>
      <w:r>
        <w:t xml:space="preserve"> </w:t>
      </w:r>
      <w:r>
        <w:t xml:space="preserve">(le meilleur nom de la notice l’emporte) :</w:t>
      </w:r>
    </w:p>
    <w:p>
      <w:pPr>
        <w:numPr>
          <w:ilvl w:val="1"/>
          <w:numId w:val="1019"/>
        </w:numPr>
        <w:pStyle w:val="Compact"/>
      </w:pPr>
      <w:r>
        <w:rPr>
          <w:bCs/>
          <w:b/>
        </w:rPr>
        <w:t xml:space="preserve">A</w:t>
      </w:r>
      <w:r>
        <w:t xml:space="preserve">, nom lu : aucun caractère du radical n’est restitué et au moins 3 lettres sont gravées (une abréviation gravée comme</w:t>
      </w:r>
      <w:r>
        <w:t xml:space="preserve"> </w:t>
      </w:r>
      <w:r>
        <w:rPr>
          <w:iCs/>
          <w:i/>
        </w:rPr>
        <w:t xml:space="preserve">Val(entiniano)</w:t>
      </w:r>
      <w:r>
        <w:t xml:space="preserve"> </w:t>
      </w:r>
      <w:r>
        <w:t xml:space="preserve">compte) ;</w:t>
      </w:r>
    </w:p>
    <w:p>
      <w:pPr>
        <w:numPr>
          <w:ilvl w:val="1"/>
          <w:numId w:val="1019"/>
        </w:numPr>
        <w:pStyle w:val="Compact"/>
      </w:pPr>
      <w:r>
        <w:rPr>
          <w:bCs/>
          <w:b/>
        </w:rPr>
        <w:t xml:space="preserve">B</w:t>
      </w:r>
      <w:r>
        <w:t xml:space="preserve">, lecture partielle : au moins 3 lettres gravées d’un nom, le reste restitué ;</w:t>
      </w:r>
    </w:p>
    <w:p>
      <w:pPr>
        <w:numPr>
          <w:ilvl w:val="1"/>
          <w:numId w:val="1019"/>
        </w:numPr>
        <w:pStyle w:val="Compact"/>
      </w:pPr>
      <w:r>
        <w:rPr>
          <w:bCs/>
          <w:b/>
        </w:rPr>
        <w:t xml:space="preserve">C</w:t>
      </w:r>
      <w:r>
        <w:t xml:space="preserve">, initiales : sigles ou initiales seuls gravés ;</w:t>
      </w:r>
    </w:p>
    <w:p>
      <w:pPr>
        <w:numPr>
          <w:ilvl w:val="1"/>
          <w:numId w:val="1019"/>
        </w:numPr>
        <w:pStyle w:val="Compact"/>
      </w:pPr>
      <w:r>
        <w:rPr>
          <w:bCs/>
          <w:b/>
        </w:rPr>
        <w:t xml:space="preserve">R</w:t>
      </w:r>
      <w:r>
        <w:t xml:space="preserve">, restitution : au plus 2 lettres gravées par nom ; l’identification du consulat repose sur la restitution ;</w:t>
      </w:r>
    </w:p>
    <w:p>
      <w:pPr>
        <w:numPr>
          <w:ilvl w:val="1"/>
          <w:numId w:val="1019"/>
        </w:numPr>
        <w:pStyle w:val="Compact"/>
      </w:pPr>
      <w:r>
        <w:rPr>
          <w:bCs/>
          <w:b/>
        </w:rPr>
        <w:t xml:space="preserve">D</w:t>
      </w:r>
      <w:r>
        <w:t xml:space="preserve">, indéterminé.</w:t>
      </w:r>
    </w:p>
    <w:p>
      <w:pPr>
        <w:numPr>
          <w:ilvl w:val="0"/>
          <w:numId w:val="1017"/>
        </w:numPr>
        <w:pStyle w:val="Compact"/>
      </w:pPr>
      <w:r>
        <w:rPr>
          <w:bCs/>
          <w:b/>
        </w:rPr>
        <w:t xml:space="preserve">Relecture manuelle.</w:t>
      </w:r>
      <w:r>
        <w:t xml:space="preserve"> </w:t>
      </w:r>
      <w:r>
        <w:t xml:space="preserve">Tous les cas de niveau C, R ou D ont été relus à la main, ainsi que ceux où le niveau A ne tenait qu’à un nom absent de la liste v2.0 : 38 notices, avec justification dans</w:t>
      </w:r>
      <w:r>
        <w:t xml:space="preserve"> </w:t>
      </w:r>
      <w:r>
        <w:rPr>
          <w:rStyle w:val="VerbatimChar"/>
        </w:rPr>
        <w:t xml:space="preserve">02_verifications/consuls_revue_manuelle.csv</w:t>
      </w:r>
      <w:r>
        <w:t xml:space="preserve">. Les cas où un nom de la liste était lu et un autre restitué (niveau A « mixte ») ont aussi été parcourus. Les niveaux A et B obtenus automatiquement, sans cas particulier,</w:t>
      </w:r>
      <w:r>
        <w:t xml:space="preserve"> </w:t>
      </w:r>
      <w:r>
        <w:rPr>
          <w:bCs/>
          <w:b/>
        </w:rPr>
        <w:t xml:space="preserve">n’ont pas été relus un à un</w:t>
      </w:r>
      <w:r>
        <w:t xml:space="preserve">.</w:t>
      </w:r>
    </w:p>
    <w:bookmarkEnd w:id="45"/>
    <w:bookmarkStart w:id="46" w:name="X583bacb20c9e9d34abf89724ca6d33e71a08fbd"/>
    <w:p>
      <w:pPr>
        <w:pStyle w:val="Heading3"/>
      </w:pPr>
      <w:r>
        <w:t xml:space="preserve">Résultat 1 — la liste « consuls identifiés » de la v2.0 contient des noms qui ne sont pas des consuls</w:t>
      </w:r>
    </w:p>
    <w:p>
      <w:pPr>
        <w:pStyle w:val="FirstParagraph"/>
      </w:pPr>
      <w:r>
        <w:t xml:space="preserve">Le détecteur de la v2.0 a pris pour des consuls</w:t>
      </w:r>
      <w:r>
        <w:t xml:space="preserve"> </w:t>
      </w:r>
      <w:r>
        <w:rPr>
          <w:bCs/>
          <w:b/>
        </w:rPr>
        <w:t xml:space="preserve">30 noms de personnes</w:t>
      </w:r>
      <w:r>
        <w:t xml:space="preserve"> </w:t>
      </w:r>
      <w:r>
        <w:t xml:space="preserve">(29 notices) qui figurent dans le texte : défunts, dédicants, l’apôtre Paul, un fonctionnaire. La liste, avec la forme exacte du texte, est dans</w:t>
      </w:r>
      <w:r>
        <w:t xml:space="preserve"> </w:t>
      </w:r>
      <w:r>
        <w:rPr>
          <w:rStyle w:val="VerbatimChar"/>
        </w:rPr>
        <w:t xml:space="preserve">02_verifications/consuls_faux_positifs_v2.csv</w:t>
      </w:r>
      <w:r>
        <w:t xml:space="preserve">. En voici des exemples :</w:t>
      </w:r>
    </w:p>
    <w:p>
      <w:pPr>
        <w:numPr>
          <w:ilvl w:val="0"/>
          <w:numId w:val="1020"/>
        </w:numPr>
        <w:pStyle w:val="Compact"/>
      </w:pPr>
      <w:r>
        <w:t xml:space="preserve">n° 55,</w:t>
      </w:r>
      <w:r>
        <w:t xml:space="preserve"> </w:t>
      </w:r>
      <w:r>
        <w:rPr>
          <w:iCs/>
          <w:i/>
        </w:rPr>
        <w:t xml:space="preserve">Marcellinus</w:t>
      </w:r>
      <w:r>
        <w:t xml:space="preserve">, le défunt ; le consulat lu,</w:t>
      </w:r>
      <w:r>
        <w:t xml:space="preserve"> </w:t>
      </w:r>
      <w:r>
        <w:rPr>
          <w:iCs/>
          <w:i/>
        </w:rPr>
        <w:t xml:space="preserve">Aqundino et Proculo</w:t>
      </w:r>
      <w:r>
        <w:t xml:space="preserve"> </w:t>
      </w:r>
      <w:r>
        <w:t xml:space="preserve">(340), date la naissance ;</w:t>
      </w:r>
    </w:p>
    <w:p>
      <w:pPr>
        <w:numPr>
          <w:ilvl w:val="0"/>
          <w:numId w:val="1020"/>
        </w:numPr>
        <w:pStyle w:val="Compact"/>
      </w:pPr>
      <w:r>
        <w:t xml:space="preserve">n° 105,</w:t>
      </w:r>
      <w:r>
        <w:t xml:space="preserve"> </w:t>
      </w:r>
      <w:r>
        <w:rPr>
          <w:iCs/>
          <w:i/>
        </w:rPr>
        <w:t xml:space="preserve">Vincentius presb(yter)</w:t>
      </w:r>
      <w:r>
        <w:t xml:space="preserve"> </w:t>
      </w:r>
      <w:r>
        <w:t xml:space="preserve">;</w:t>
      </w:r>
    </w:p>
    <w:p>
      <w:pPr>
        <w:numPr>
          <w:ilvl w:val="0"/>
          <w:numId w:val="1020"/>
        </w:numPr>
        <w:pStyle w:val="Compact"/>
      </w:pPr>
      <w:r>
        <w:t xml:space="preserve">n° 147,</w:t>
      </w:r>
      <w:r>
        <w:t xml:space="preserve"> </w:t>
      </w:r>
      <w:r>
        <w:rPr>
          <w:iCs/>
          <w:i/>
        </w:rPr>
        <w:t xml:space="preserve">ego Constantius</w:t>
      </w:r>
      <w:r>
        <w:t xml:space="preserve"> </w:t>
      </w:r>
      <w:r>
        <w:t xml:space="preserve">;</w:t>
      </w:r>
    </w:p>
    <w:p>
      <w:pPr>
        <w:numPr>
          <w:ilvl w:val="0"/>
          <w:numId w:val="1020"/>
        </w:numPr>
        <w:pStyle w:val="Compact"/>
      </w:pPr>
      <w:r>
        <w:t xml:space="preserve">n° 321,</w:t>
      </w:r>
      <w:r>
        <w:t xml:space="preserve"> </w:t>
      </w:r>
      <w:r>
        <w:rPr>
          <w:iCs/>
          <w:i/>
        </w:rPr>
        <w:t xml:space="preserve">Columna Paul(i) a[postol(i)]</w:t>
      </w:r>
      <w:r>
        <w:t xml:space="preserve"> </w:t>
      </w:r>
      <w:r>
        <w:t xml:space="preserve">et</w:t>
      </w:r>
      <w:r>
        <w:t xml:space="preserve"> </w:t>
      </w:r>
      <w:r>
        <w:rPr>
          <w:iCs/>
          <w:i/>
        </w:rPr>
        <w:t xml:space="preserve">administrante Fl(avio) Filippo</w:t>
      </w:r>
      <w:r>
        <w:t xml:space="preserve"> </w:t>
      </w:r>
      <w:r>
        <w:t xml:space="preserve">;</w:t>
      </w:r>
    </w:p>
    <w:p>
      <w:pPr>
        <w:numPr>
          <w:ilvl w:val="0"/>
          <w:numId w:val="1020"/>
        </w:numPr>
        <w:pStyle w:val="Compact"/>
      </w:pPr>
      <w:r>
        <w:t xml:space="preserve">n° 387,</w:t>
      </w:r>
      <w:r>
        <w:t xml:space="preserve"> </w:t>
      </w:r>
      <w:r>
        <w:rPr>
          <w:iCs/>
          <w:i/>
        </w:rPr>
        <w:t xml:space="preserve">ad limina Petri et Pauli</w:t>
      </w:r>
      <w:r>
        <w:t xml:space="preserve"> </w:t>
      </w:r>
      <w:r>
        <w:t xml:space="preserve">;</w:t>
      </w:r>
    </w:p>
    <w:p>
      <w:pPr>
        <w:numPr>
          <w:ilvl w:val="0"/>
          <w:numId w:val="1020"/>
        </w:numPr>
        <w:pStyle w:val="Compact"/>
      </w:pPr>
      <w:r>
        <w:t xml:space="preserve">n° 452,</w:t>
      </w:r>
      <w:r>
        <w:t xml:space="preserve"> </w:t>
      </w:r>
      <w:r>
        <w:rPr>
          <w:iCs/>
          <w:i/>
        </w:rPr>
        <w:t xml:space="preserve">Theodosius v(ir) c(larissimus)</w:t>
      </w:r>
      <w:r>
        <w:t xml:space="preserve">, un particulier et non l’empereur.</w:t>
      </w:r>
    </w:p>
    <w:p>
      <w:pPr>
        <w:pStyle w:val="FirstParagraph"/>
      </w:pPr>
      <w:r>
        <w:t xml:space="preserve">Dans ces 29 notices,</w:t>
      </w:r>
      <w:r>
        <w:t xml:space="preserve"> </w:t>
      </w:r>
      <w:r>
        <w:rPr>
          <w:bCs/>
          <w:b/>
        </w:rPr>
        <w:t xml:space="preserve">l’année retenue n’est pas faussée</w:t>
      </w:r>
      <w:r>
        <w:t xml:space="preserve">, car elle repose sur l’autre paire consulaire ou sur le collègue. En revanche, la table « Consuls » de la v2.0 est gonflée d’autant. Les décomptes de mentions consulaires doivent être refaits sans ces lignes.</w:t>
      </w:r>
    </w:p>
    <w:p>
      <w:pPr>
        <w:pStyle w:val="BodyText"/>
      </w:pPr>
      <w:r>
        <w:t xml:space="preserve">Le détecteur a aussi</w:t>
      </w:r>
      <w:r>
        <w:t xml:space="preserve"> </w:t>
      </w:r>
      <w:r>
        <w:rPr>
          <w:bCs/>
          <w:b/>
        </w:rPr>
        <w:t xml:space="preserve">omis</w:t>
      </w:r>
      <w:r>
        <w:t xml:space="preserve"> </w:t>
      </w:r>
      <w:r>
        <w:t xml:space="preserve">des consuls bel et bien lus. Exemples :</w:t>
      </w:r>
    </w:p>
    <w:p>
      <w:pPr>
        <w:numPr>
          <w:ilvl w:val="0"/>
          <w:numId w:val="1021"/>
        </w:numPr>
        <w:pStyle w:val="Compact"/>
      </w:pPr>
      <w:r>
        <w:rPr>
          <w:iCs/>
          <w:i/>
        </w:rPr>
        <w:t xml:space="preserve">C{a}eriale</w:t>
      </w:r>
      <w:r>
        <w:t xml:space="preserve"> </w:t>
      </w:r>
      <w:r>
        <w:t xml:space="preserve">au n° 53 ;</w:t>
      </w:r>
    </w:p>
    <w:p>
      <w:pPr>
        <w:numPr>
          <w:ilvl w:val="0"/>
          <w:numId w:val="1021"/>
        </w:numPr>
        <w:pStyle w:val="Compact"/>
      </w:pPr>
      <w:r>
        <w:rPr>
          <w:iCs/>
          <w:i/>
        </w:rPr>
        <w:t xml:space="preserve">Euthyciano</w:t>
      </w:r>
      <w:r>
        <w:t xml:space="preserve"> </w:t>
      </w:r>
      <w:r>
        <w:t xml:space="preserve">au n° 423 ;</w:t>
      </w:r>
    </w:p>
    <w:p>
      <w:pPr>
        <w:numPr>
          <w:ilvl w:val="0"/>
          <w:numId w:val="1021"/>
        </w:numPr>
        <w:pStyle w:val="Compact"/>
      </w:pPr>
      <w:r>
        <w:rPr>
          <w:iCs/>
          <w:i/>
        </w:rPr>
        <w:t xml:space="preserve">Vincenti</w:t>
      </w:r>
      <w:r>
        <w:t xml:space="preserve"> </w:t>
      </w:r>
      <w:r>
        <w:t xml:space="preserve">au n° 450 ;</w:t>
      </w:r>
    </w:p>
    <w:p>
      <w:pPr>
        <w:numPr>
          <w:ilvl w:val="0"/>
          <w:numId w:val="1021"/>
        </w:numPr>
        <w:pStyle w:val="Compact"/>
      </w:pPr>
      <w:r>
        <w:rPr>
          <w:iCs/>
          <w:i/>
        </w:rPr>
        <w:t xml:space="preserve">Fraudit[o</w:t>
      </w:r>
      <w:r>
        <w:t xml:space="preserve"> </w:t>
      </w:r>
      <w:r>
        <w:t xml:space="preserve">au n° 456 ;</w:t>
      </w:r>
    </w:p>
    <w:p>
      <w:pPr>
        <w:numPr>
          <w:ilvl w:val="0"/>
          <w:numId w:val="1021"/>
        </w:numPr>
        <w:pStyle w:val="Compact"/>
      </w:pPr>
      <w:r>
        <w:rPr>
          <w:iCs/>
          <w:i/>
        </w:rPr>
        <w:t xml:space="preserve">Romodoro</w:t>
      </w:r>
      <w:r>
        <w:t xml:space="preserve"> </w:t>
      </w:r>
      <w:r>
        <w:t xml:space="preserve">au n° 476 ;</w:t>
      </w:r>
    </w:p>
    <w:p>
      <w:pPr>
        <w:numPr>
          <w:ilvl w:val="0"/>
          <w:numId w:val="1021"/>
        </w:numPr>
        <w:pStyle w:val="Compact"/>
      </w:pPr>
      <w:r>
        <w:rPr>
          <w:iCs/>
          <w:i/>
        </w:rPr>
        <w:t xml:space="preserve">Timatio</w:t>
      </w:r>
      <w:r>
        <w:t xml:space="preserve"> </w:t>
      </w:r>
      <w:r>
        <w:t xml:space="preserve">au n° 309 ;</w:t>
      </w:r>
    </w:p>
    <w:p>
      <w:pPr>
        <w:numPr>
          <w:ilvl w:val="0"/>
          <w:numId w:val="1021"/>
        </w:numPr>
        <w:pStyle w:val="Compact"/>
      </w:pPr>
      <w:r>
        <w:rPr>
          <w:iCs/>
          <w:i/>
        </w:rPr>
        <w:t xml:space="preserve">Arantheo</w:t>
      </w:r>
      <w:r>
        <w:t xml:space="preserve"> </w:t>
      </w:r>
      <w:r>
        <w:t xml:space="preserve">au n° 155.</w:t>
      </w:r>
    </w:p>
    <w:bookmarkEnd w:id="46"/>
    <w:bookmarkStart w:id="47" w:name="X8886e7a3250fc622456722a973b7d4ba2d73ec9"/>
    <w:p>
      <w:pPr>
        <w:pStyle w:val="Heading3"/>
      </w:pPr>
      <w:r>
        <w:t xml:space="preserve">Résultat 2 — sur quoi reposent les années « directes »</w:t>
      </w:r>
    </w:p>
    <w:p>
      <w:pPr>
        <w:pStyle w:val="FirstParagraph"/>
      </w:pPr>
      <w:r>
        <w:t xml:space="preserve">Corpus de 473 textes : on retire les doublons 106, 282 et 329, ainsi que le n° 98, et l’on compte une fois les fragments 393 et 394, au meilleur niveau des deux. Ce corpus compte</w:t>
      </w:r>
      <w:r>
        <w:t xml:space="preserve"> </w:t>
      </w:r>
      <w:r>
        <w:rPr>
          <w:bCs/>
          <w:b/>
        </w:rPr>
        <w:t xml:space="preserve">457 textes à datation directe</w:t>
      </w:r>
      <w:r>
        <w:t xml:space="preserve">. Les 16 autres sont datés par la base (§ D, A016).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textes</w:t>
            </w:r>
          </w:p>
        </w:tc>
        <w:tc>
          <w:tcPr/>
          <w:p>
            <w:pPr>
              <w:pStyle w:val="Compact"/>
              <w:jc w:val="left"/>
            </w:pPr>
            <w:r>
              <w:t xml:space="preserve">% de 457</w:t>
            </w:r>
          </w:p>
        </w:tc>
      </w:tr>
      <w:tr>
        <w:tc>
          <w:tcPr/>
          <w:p>
            <w:pPr>
              <w:pStyle w:val="Compact"/>
              <w:jc w:val="left"/>
            </w:pPr>
            <w:r>
              <w:t xml:space="preserve">A — au moins un nom consulaire lu</w:t>
            </w:r>
          </w:p>
        </w:tc>
        <w:tc>
          <w:tcPr/>
          <w:p>
            <w:pPr>
              <w:pStyle w:val="Compact"/>
              <w:jc w:val="left"/>
            </w:pPr>
            <w:r>
              <w:t xml:space="preserve">338</w:t>
            </w:r>
          </w:p>
        </w:tc>
        <w:tc>
          <w:tcPr/>
          <w:p>
            <w:pPr>
              <w:pStyle w:val="Compact"/>
              <w:jc w:val="left"/>
            </w:pPr>
            <w:r>
              <w:t xml:space="preserve">74,0 %</w:t>
            </w:r>
          </w:p>
        </w:tc>
      </w:tr>
      <w:tr>
        <w:tc>
          <w:tcPr/>
          <w:p>
            <w:pPr>
              <w:pStyle w:val="Compact"/>
              <w:jc w:val="left"/>
            </w:pPr>
            <w:r>
              <w:t xml:space="preserve">B — lecture partielle (≥ 3 lettres gravées d’un nom)</w:t>
            </w:r>
          </w:p>
        </w:tc>
        <w:tc>
          <w:tcPr/>
          <w:p>
            <w:pPr>
              <w:pStyle w:val="Compact"/>
              <w:jc w:val="left"/>
            </w:pPr>
            <w:r>
              <w:t xml:space="preserve">97</w:t>
            </w:r>
          </w:p>
        </w:tc>
        <w:tc>
          <w:tcPr/>
          <w:p>
            <w:pPr>
              <w:pStyle w:val="Compact"/>
              <w:jc w:val="left"/>
            </w:pPr>
            <w:r>
              <w:t xml:space="preserve">21,2 %</w:t>
            </w:r>
          </w:p>
        </w:tc>
      </w:tr>
      <w:tr>
        <w:tc>
          <w:tcPr/>
          <w:p>
            <w:pPr>
              <w:pStyle w:val="Compact"/>
              <w:jc w:val="left"/>
            </w:pPr>
            <w:r>
              <w:t xml:space="preserve">C — initiales seules (n° 48</w:t>
            </w:r>
            <w:r>
              <w:t xml:space="preserve"> </w:t>
            </w:r>
            <w:r>
              <w:rPr>
                <w:iCs/>
                <w:i/>
              </w:rPr>
              <w:t xml:space="preserve">Co. VIIII I. II</w:t>
            </w:r>
            <w:r>
              <w:t xml:space="preserve"> </w:t>
            </w:r>
            <w:r>
              <w:t xml:space="preserve">; n° 70</w:t>
            </w:r>
            <w:r>
              <w:t xml:space="preserve"> </w:t>
            </w:r>
            <w:r>
              <w:rPr>
                <w:iCs/>
                <w:i/>
              </w:rPr>
              <w:t xml:space="preserve">M. et N.</w:t>
            </w:r>
            <w:r>
              <w:t xml:space="preserve">)</w:t>
            </w:r>
          </w:p>
        </w:tc>
        <w:tc>
          <w:tcPr/>
          <w:p>
            <w:pPr>
              <w:pStyle w:val="Compact"/>
              <w:jc w:val="left"/>
            </w:pPr>
            <w:r>
              <w:t xml:space="preserve">2</w:t>
            </w:r>
          </w:p>
        </w:tc>
        <w:tc>
          <w:tcPr/>
          <w:p>
            <w:pPr>
              <w:pStyle w:val="Compact"/>
              <w:jc w:val="left"/>
            </w:pPr>
            <w:r>
              <w:t xml:space="preserve">0,4 %</w:t>
            </w:r>
          </w:p>
        </w:tc>
      </w:tr>
      <w:tr>
        <w:tc>
          <w:tcPr/>
          <w:p>
            <w:pPr>
              <w:pStyle w:val="Compact"/>
              <w:jc w:val="left"/>
            </w:pPr>
            <w:r>
              <w:t xml:space="preserve">R — consulat</w:t>
            </w:r>
            <w:r>
              <w:t xml:space="preserve"> </w:t>
            </w:r>
            <w:r>
              <w:rPr>
                <w:bCs/>
                <w:b/>
              </w:rPr>
              <w:t xml:space="preserve">restitué</w:t>
            </w:r>
            <w:r>
              <w:t xml:space="preserve"> </w:t>
            </w:r>
            <w:r>
              <w:t xml:space="preserve">(≤ 2 lettres gravées par nom)</w:t>
            </w:r>
          </w:p>
        </w:tc>
        <w:tc>
          <w:tcPr/>
          <w:p>
            <w:pPr>
              <w:pStyle w:val="Compact"/>
              <w:jc w:val="left"/>
            </w:pPr>
            <w:r>
              <w:t xml:space="preserve">20</w:t>
            </w:r>
          </w:p>
        </w:tc>
        <w:tc>
          <w:tcPr/>
          <w:p>
            <w:pPr>
              <w:pStyle w:val="Compact"/>
              <w:jc w:val="left"/>
            </w:pPr>
            <w:r>
              <w:t xml:space="preserve">4,4 %</w:t>
            </w:r>
          </w:p>
        </w:tc>
      </w:tr>
    </w:tbl>
    <w:p>
      <w:pPr>
        <w:pStyle w:val="BodyText"/>
      </w:pPr>
      <w:r>
        <w:t xml:space="preserve">Les 20 textes de niveau R sont les n° 52, 129, 137, 138, 161, 203, 219, 222, 256, 290, 314, 384, 415, 426, 432, 438, 452, 455, 465 et 468. Leur année vient d’une</w:t>
      </w:r>
      <w:r>
        <w:t xml:space="preserve"> </w:t>
      </w:r>
      <w:r>
        <w:rPr>
          <w:bCs/>
          <w:b/>
        </w:rPr>
        <w:t xml:space="preserve">restitution d’éditeur</w:t>
      </w:r>
      <w:r>
        <w:t xml:space="preserve">. Ce qui est gravé se réduit à une ou deux lettres (</w:t>
      </w:r>
      <w:r>
        <w:rPr>
          <w:iCs/>
          <w:i/>
        </w:rPr>
        <w:t xml:space="preserve">Sy[agrio</w:t>
      </w:r>
      <w:r>
        <w:rPr>
          <w:iCs/>
          <w:i/>
          <w:iCs/>
          <w:i/>
        </w:rPr>
        <w:t xml:space="preserve">,</w:t>
      </w:r>
      <w:r>
        <w:rPr>
          <w:iCs/>
          <w:i/>
          <w:iCs/>
          <w:i/>
        </w:rPr>
        <w:t xml:space="preserve"> </w:t>
      </w:r>
      <w:r>
        <w:rPr>
          <w:iCs/>
          <w:i/>
        </w:rPr>
        <w:t xml:space="preserve">L[ybrio</w:t>
      </w:r>
      <w:r>
        <w:rPr>
          <w:iCs/>
          <w:i/>
          <w:iCs/>
          <w:i/>
        </w:rPr>
        <w:t xml:space="preserve">,</w:t>
      </w:r>
      <w:r>
        <w:rPr>
          <w:iCs/>
          <w:i/>
          <w:iCs/>
          <w:i/>
        </w:rPr>
        <w:t xml:space="preserve"> </w:t>
      </w:r>
      <w:r>
        <w:rPr>
          <w:iCs/>
          <w:i/>
        </w:rPr>
        <w:t xml:space="preserve">M[allio</w:t>
      </w:r>
      <w:r>
        <w:rPr>
          <w:iCs/>
          <w:i/>
          <w:iCs/>
          <w:i/>
        </w:rPr>
        <w:t xml:space="preserve">), à une désinence (</w:t>
      </w:r>
      <w:r>
        <w:rPr>
          <w:iCs/>
          <w:i/>
        </w:rPr>
        <w:t xml:space="preserve">Merobau]de</w:t>
      </w:r>
      <w:r>
        <w:rPr>
          <w:iCs/>
          <w:i/>
          <w:iCs/>
          <w:i/>
        </w:rPr>
        <w:t xml:space="preserve">,</w:t>
      </w:r>
      <w:r>
        <w:rPr>
          <w:iCs/>
          <w:i/>
          <w:iCs/>
          <w:i/>
        </w:rPr>
        <w:t xml:space="preserve"> </w:t>
      </w:r>
      <w:r>
        <w:rPr>
          <w:iCs/>
          <w:i/>
        </w:rPr>
        <w:t xml:space="preserve">Theodo]ro</w:t>
      </w:r>
      <w:r>
        <w:rPr>
          <w:iCs/>
          <w:i/>
          <w:iCs/>
          <w:i/>
        </w:rPr>
        <w:t xml:space="preserve">) ou à une itération et une titulature (</w:t>
      </w:r>
      <w:r>
        <w:rPr>
          <w:iCs/>
          <w:i/>
        </w:rPr>
        <w:t xml:space="preserve">A]Auugg(ustis) V</w:t>
      </w:r>
      <w:r>
        <w:t xml:space="preserve">,</w:t>
      </w:r>
      <w:r>
        <w:t xml:space="preserve"> </w:t>
      </w:r>
      <w:r>
        <w:rPr>
          <w:iCs/>
          <w:i/>
        </w:rPr>
        <w:t xml:space="preserve">Honori]o IIII</w:t>
      </w:r>
      <w:r>
        <w:t xml:space="preserve">). Pour 16 d’entre eux, l’EDB retient la même année. Ce n’est pas une confirmation indépendante : les deux bases reprennent la restitution de l’ICVR. Deux cas sont en désaccord :</w:t>
      </w:r>
    </w:p>
    <w:p>
      <w:pPr>
        <w:numPr>
          <w:ilvl w:val="0"/>
          <w:numId w:val="1022"/>
        </w:numPr>
        <w:pStyle w:val="Compact"/>
      </w:pPr>
      <w:r>
        <w:rPr>
          <w:bCs/>
          <w:b/>
        </w:rPr>
        <w:t xml:space="preserve">n° 52</w:t>
      </w:r>
      <w:r>
        <w:t xml:space="preserve"> </w:t>
      </w:r>
      <w:r>
        <w:t xml:space="preserve">: l’EDB date « 333 ; 358 », car</w:t>
      </w:r>
      <w:r>
        <w:t xml:space="preserve"> </w:t>
      </w:r>
      <w:r>
        <w:rPr>
          <w:iCs/>
          <w:i/>
        </w:rPr>
        <w:t xml:space="preserve">Da[tiani</w:t>
      </w:r>
      <w:r>
        <w:t xml:space="preserve"> </w:t>
      </w:r>
      <w:r>
        <w:t xml:space="preserve">est compatible avec deux consulats ;</w:t>
      </w:r>
    </w:p>
    <w:p>
      <w:pPr>
        <w:numPr>
          <w:ilvl w:val="0"/>
          <w:numId w:val="1022"/>
        </w:numPr>
        <w:pStyle w:val="Compact"/>
      </w:pPr>
      <w:r>
        <w:rPr>
          <w:bCs/>
          <w:b/>
        </w:rPr>
        <w:t xml:space="preserve">n° 314</w:t>
      </w:r>
      <w:r>
        <w:t xml:space="preserve"> </w:t>
      </w:r>
      <w:r>
        <w:t xml:space="preserve">: l’EDB date « 389–390 » (dossier A009).</w:t>
      </w:r>
    </w:p>
    <w:p>
      <w:pPr>
        <w:pStyle w:val="FirstParagraph"/>
      </w:pPr>
      <w:r>
        <w:t xml:space="preserve">Deux textes, les n° 161 et 452, n’ont pas de fiche EDB appariée (§ F et</w:t>
      </w:r>
      <w:r>
        <w:t xml:space="preserve"> </w:t>
      </w:r>
      <w:r>
        <w:rPr>
          <w:rStyle w:val="VerbatimChar"/>
        </w:rPr>
        <w:t xml:space="preserve">ETAT_COLLATION.md</w:t>
      </w:r>
      <w:r>
        <w:t xml:space="preserve">).</w:t>
      </w:r>
    </w:p>
    <w:p>
      <w:pPr>
        <w:pStyle w:val="BodyText"/>
      </w:pPr>
      <w:r>
        <w:t xml:space="preserve">Le n° 393 (</w:t>
      </w:r>
      <w:r>
        <w:rPr>
          <w:iCs/>
          <w:i/>
        </w:rPr>
        <w:t xml:space="preserve">IIII H[onorio III</w:t>
      </w:r>
      <w:r>
        <w:rPr>
          <w:iCs/>
          <w:i/>
          <w:iCs/>
          <w:i/>
        </w:rPr>
        <w:t xml:space="preserve">, niveau R) remonte au niveau B une fois fusionné avec le n° 394 (</w:t>
      </w:r>
      <w:r>
        <w:rPr>
          <w:iCs/>
          <w:i/>
        </w:rPr>
        <w:t xml:space="preserve">Arc]adio</w:t>
      </w:r>
      <w:r>
        <w:t xml:space="preserve">).</w:t>
      </w:r>
    </w:p>
    <w:p>
      <w:pPr>
        <w:pStyle w:val="BodyText"/>
      </w:pPr>
      <w:r>
        <w:t xml:space="preserve">Plusieurs cas de niveau B ne reposent que sur une partie peu distinctive du nom. Ils restent classés B, mais l’identification y dépend en partie de la restitution :</w:t>
      </w:r>
    </w:p>
    <w:p>
      <w:pPr>
        <w:numPr>
          <w:ilvl w:val="0"/>
          <w:numId w:val="1023"/>
        </w:numPr>
        <w:pStyle w:val="Compact"/>
      </w:pPr>
      <w:r>
        <w:t xml:space="preserve">n° 273 :</w:t>
      </w:r>
      <w:r>
        <w:t xml:space="preserve"> </w:t>
      </w:r>
      <w:r>
        <w:rPr>
          <w:iCs/>
          <w:i/>
        </w:rPr>
        <w:t xml:space="preserve">Clea]rco</w:t>
      </w:r>
      <w:r>
        <w:t xml:space="preserve">, désinence seule ;</w:t>
      </w:r>
    </w:p>
    <w:p>
      <w:pPr>
        <w:numPr>
          <w:ilvl w:val="0"/>
          <w:numId w:val="1023"/>
        </w:numPr>
        <w:pStyle w:val="Compact"/>
      </w:pPr>
      <w:r>
        <w:t xml:space="preserve">n° 328 :</w:t>
      </w:r>
      <w:r>
        <w:t xml:space="preserve"> </w:t>
      </w:r>
      <w:r>
        <w:rPr>
          <w:iCs/>
          <w:i/>
        </w:rPr>
        <w:t xml:space="preserve">Eu]terio</w:t>
      </w:r>
      <w:r>
        <w:t xml:space="preserve">, qui peut être</w:t>
      </w:r>
      <w:r>
        <w:t xml:space="preserve"> </w:t>
      </w:r>
      <w:r>
        <w:rPr>
          <w:iCs/>
          <w:i/>
        </w:rPr>
        <w:t xml:space="preserve">Eucherio</w:t>
      </w:r>
      <w:r>
        <w:t xml:space="preserve"> </w:t>
      </w:r>
      <w:r>
        <w:t xml:space="preserve">(381) ou</w:t>
      </w:r>
      <w:r>
        <w:t xml:space="preserve"> </w:t>
      </w:r>
      <w:r>
        <w:rPr>
          <w:iCs/>
          <w:i/>
        </w:rPr>
        <w:t xml:space="preserve">Neoterio</w:t>
      </w:r>
      <w:r>
        <w:t xml:space="preserve"> </w:t>
      </w:r>
      <w:r>
        <w:t xml:space="preserve">(390) ; voir § D.</w:t>
      </w:r>
    </w:p>
    <w:bookmarkEnd w:id="47"/>
    <w:bookmarkStart w:id="48" w:name="conséquences-pour-la-v3"/>
    <w:p>
      <w:pPr>
        <w:pStyle w:val="Heading3"/>
      </w:pPr>
      <w:r>
        <w:t xml:space="preserve">Conséquences pour la v3</w:t>
      </w:r>
    </w:p>
    <w:p>
      <w:pPr>
        <w:numPr>
          <w:ilvl w:val="0"/>
          <w:numId w:val="1024"/>
        </w:numPr>
        <w:pStyle w:val="Compact"/>
      </w:pPr>
      <w:r>
        <w:rPr>
          <w:bCs/>
          <w:b/>
        </w:rPr>
        <w:t xml:space="preserve">Reformuler</w:t>
      </w:r>
      <w:r>
        <w:t xml:space="preserve"> </w:t>
      </w:r>
      <w:r>
        <w:t xml:space="preserve">l’indicateur « datation directe (consulat lu) ». Il faut au moins distinguer A + B (435 textes, 95,2 %) de C + R (22 textes, 4,8 %). Les tableaux chronologiques doivent pouvoir être recalculés sans les 20 textes de niveau R.</w:t>
      </w:r>
    </w:p>
    <w:p>
      <w:pPr>
        <w:numPr>
          <w:ilvl w:val="0"/>
          <w:numId w:val="1024"/>
        </w:numPr>
        <w:pStyle w:val="Compact"/>
      </w:pPr>
      <w:r>
        <w:rPr>
          <w:bCs/>
          <w:b/>
        </w:rPr>
        <w:t xml:space="preserve">Corriger la table « Consuls »</w:t>
      </w:r>
      <w:r>
        <w:t xml:space="preserve"> </w:t>
      </w:r>
      <w:r>
        <w:t xml:space="preserve">de la v2.0 : retirer les 30 lignes de faux consuls ; ajouter les consuls lus omis.</w:t>
      </w:r>
    </w:p>
    <w:p>
      <w:pPr>
        <w:numPr>
          <w:ilvl w:val="0"/>
          <w:numId w:val="1024"/>
        </w:numPr>
        <w:pStyle w:val="Compact"/>
      </w:pPr>
      <w:r>
        <w:rPr>
          <w:bCs/>
          <w:b/>
        </w:rPr>
        <w:t xml:space="preserve">Vérifier sur l’ICVR</w:t>
      </w:r>
      <w:r>
        <w:t xml:space="preserve">, en priorité, les 20 textes de niveau R et les cas B fragiles (273, 328). Il s’agit de savoir si la restitution consulaire repose sur un calcul de l’éditeur (dimensions de la lacune, autres fragments) ou sur une simple hypothèse.</w:t>
      </w:r>
    </w:p>
    <w:p>
      <w:pPr>
        <w:numPr>
          <w:ilvl w:val="0"/>
          <w:numId w:val="1024"/>
        </w:numPr>
        <w:pStyle w:val="Compact"/>
      </w:pPr>
      <w:r>
        <w:rPr>
          <w:bCs/>
          <w:b/>
        </w:rPr>
        <w:t xml:space="preserve">Limite.</w:t>
      </w:r>
      <w:r>
        <w:t xml:space="preserve"> </w:t>
      </w:r>
      <w:r>
        <w:t xml:space="preserve">Le classement repose sur la notation de l’EDCS. Là où l’EDB lit davantage, des lettres soulignées (vues par un éditeur antérieur) par exemple, le niveau peut changer. La comparaison systématique avec la notation de l’EDB n’a pas été faite.</w:t>
      </w:r>
    </w:p>
    <w:bookmarkEnd w:id="48"/>
    <w:bookmarkEnd w:id="49"/>
    <w:bookmarkStart w:id="53" w:name="X348f6ef643f99ed102ea924809a7add0a64af58"/>
    <w:p>
      <w:pPr>
        <w:pStyle w:val="Heading2"/>
      </w:pPr>
      <w:r>
        <w:t xml:space="preserve">H. Fiches EDB détaillées des 38 divergences fortes (lot 5)</w:t>
      </w:r>
    </w:p>
    <w:bookmarkStart w:id="50" w:name="méthode-1"/>
    <w:p>
      <w:pPr>
        <w:pStyle w:val="Heading3"/>
      </w:pPr>
      <w:r>
        <w:t xml:space="preserve">Méthode</w:t>
      </w:r>
    </w:p>
    <w:p>
      <w:pPr>
        <w:pStyle w:val="FirstParagraph"/>
      </w:pPr>
      <w:r>
        <w:t xml:space="preserve">Les 38 notices classées « divergence forte » (score &lt; 0,75) correspondent à 36 fiches EDB, car 313/314 et 393/394 partagent une fiche. Trois fiches avaient déjà été lues au lot 4. Les 33 autres ont été ouvertes le 14 octobre 2026, ainsi que les deux fiches de fragments joints au n° 378. Les réponses brutes sont dans</w:t>
      </w:r>
      <w:r>
        <w:t xml:space="preserve"> </w:t>
      </w:r>
      <w:r>
        <w:rPr>
          <w:rStyle w:val="VerbatimChar"/>
        </w:rPr>
        <w:t xml:space="preserve">02_verifications/edb/fiches/fiches_lot5_*.json</w:t>
      </w:r>
      <w:r>
        <w:t xml:space="preserve">. L’analyse, notice par notice, est dans</w:t>
      </w:r>
      <w:r>
        <w:t xml:space="preserve"> </w:t>
      </w:r>
      <w:r>
        <w:rPr>
          <w:rStyle w:val="VerbatimChar"/>
        </w:rPr>
        <w:t xml:space="preserve">02_verifications/edb/divergences_fortes_fiches.csv</w:t>
      </w:r>
      <w:r>
        <w:t xml:space="preserve">.</w:t>
      </w:r>
    </w:p>
    <w:bookmarkEnd w:id="50"/>
    <w:bookmarkStart w:id="51" w:name="résultat"/>
    <w:p>
      <w:pPr>
        <w:pStyle w:val="Heading3"/>
      </w:pPr>
      <w:r>
        <w:t xml:space="preserve">Résultat</w:t>
      </w:r>
    </w:p>
    <w:p>
      <w:pPr>
        <w:pStyle w:val="FirstParagraph"/>
      </w:pPr>
      <w:r>
        <w:t xml:space="preserve">Dans la majorité des cas, la « divergence forte » était un</w:t>
      </w:r>
      <w:r>
        <w:t xml:space="preserve"> </w:t>
      </w:r>
      <w:r>
        <w:rPr>
          <w:bCs/>
          <w:b/>
        </w:rPr>
        <w:t xml:space="preserve">artefact</w:t>
      </w:r>
      <w:r>
        <w:t xml:space="preserve"> </w:t>
      </w:r>
      <w:r>
        <w:t xml:space="preserve">: texte de liste tronqué, structure en plusieurs parties (a, b, c), ou notation (</w:t>
      </w:r>
      <w:r>
        <w:rPr>
          <w:iCs/>
          <w:i/>
        </w:rPr>
        <w:t xml:space="preserve">bixit</w:t>
      </w:r>
      <w:r>
        <w:t xml:space="preserve">/</w:t>
      </w:r>
      <w:r>
        <w:rPr>
          <w:iCs/>
          <w:i/>
        </w:rPr>
        <w:t xml:space="preserve">vixit</w:t>
      </w:r>
      <w:r>
        <w:t xml:space="preserve">). Restent des constats qui touchent la datation ou le texte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w:t>
            </w:r>
          </w:p>
        </w:tc>
        <w:tc>
          <w:tcPr/>
          <w:p>
            <w:pPr>
              <w:pStyle w:val="Compact"/>
              <w:jc w:val="left"/>
            </w:pPr>
            <w:r>
              <w:t xml:space="preserve">constat</w:t>
            </w:r>
          </w:p>
        </w:tc>
        <w:tc>
          <w:tcPr/>
          <w:p>
            <w:pPr>
              <w:pStyle w:val="Compact"/>
              <w:jc w:val="left"/>
            </w:pPr>
            <w:r>
              <w:t xml:space="preserve">conséquence</w:t>
            </w:r>
          </w:p>
        </w:tc>
      </w:tr>
      <w:tr>
        <w:tc>
          <w:tcPr/>
          <w:p>
            <w:pPr>
              <w:pStyle w:val="Compact"/>
              <w:jc w:val="left"/>
            </w:pPr>
            <w:r>
              <w:rPr>
                <w:bCs/>
                <w:b/>
              </w:rPr>
              <w:t xml:space="preserve">52</w:t>
            </w:r>
          </w:p>
        </w:tc>
        <w:tc>
          <w:tcPr/>
          <w:p>
            <w:pPr>
              <w:pStyle w:val="Compact"/>
              <w:jc w:val="left"/>
            </w:pPr>
            <w:r>
              <w:t xml:space="preserve">CLRE p. 631, cité par l’EDB :</w:t>
            </w:r>
            <w:r>
              <w:t xml:space="preserve"> </w:t>
            </w:r>
            <w:r>
              <w:rPr>
                <w:iCs/>
                <w:i/>
              </w:rPr>
              <w:t xml:space="preserve">Da[</w:t>
            </w:r>
            <w:r>
              <w:t xml:space="preserve"> </w:t>
            </w:r>
            <w:r>
              <w:t xml:space="preserve">peut être Dalmatius (333)</w:t>
            </w:r>
          </w:p>
        </w:tc>
        <w:tc>
          <w:tcPr/>
          <w:p>
            <w:pPr>
              <w:pStyle w:val="Compact"/>
              <w:jc w:val="left"/>
            </w:pPr>
            <w:r>
              <w:t xml:space="preserve">date</w:t>
            </w:r>
            <w:r>
              <w:t xml:space="preserve"> </w:t>
            </w:r>
            <w:r>
              <w:rPr>
                <w:bCs/>
                <w:b/>
              </w:rPr>
              <w:t xml:space="preserve">incertaine 333/358</w:t>
            </w:r>
            <w:r>
              <w:t xml:space="preserve"> </w:t>
            </w:r>
            <w:r>
              <w:t xml:space="preserve">; peut-être hors corpus</w:t>
            </w:r>
          </w:p>
        </w:tc>
      </w:tr>
      <w:tr>
        <w:tc>
          <w:tcPr/>
          <w:p>
            <w:pPr>
              <w:pStyle w:val="Compact"/>
              <w:jc w:val="left"/>
            </w:pPr>
            <w:r>
              <w:rPr>
                <w:bCs/>
                <w:b/>
              </w:rPr>
              <w:t xml:space="preserve">431</w:t>
            </w:r>
          </w:p>
        </w:tc>
        <w:tc>
          <w:tcPr/>
          <w:p>
            <w:pPr>
              <w:pStyle w:val="Compact"/>
              <w:jc w:val="left"/>
            </w:pPr>
            <w:r>
              <w:t xml:space="preserve">CLRE p. 661, cité par l’EDB : 398 et non 399 ;</w:t>
            </w:r>
            <w:r>
              <w:t xml:space="preserve"> </w:t>
            </w:r>
            <w:r>
              <w:rPr>
                <w:iCs/>
                <w:i/>
              </w:rPr>
              <w:t xml:space="preserve">Harchadi</w:t>
            </w:r>
            <w:r>
              <w:t xml:space="preserve"> </w:t>
            </w:r>
            <w:r>
              <w:t xml:space="preserve">écrit pour</w:t>
            </w:r>
            <w:r>
              <w:t xml:space="preserve"> </w:t>
            </w:r>
            <w:r>
              <w:rPr>
                <w:iCs/>
                <w:i/>
              </w:rPr>
              <w:t xml:space="preserve">Honorii</w:t>
            </w:r>
          </w:p>
        </w:tc>
        <w:tc>
          <w:tcPr/>
          <w:p>
            <w:pPr>
              <w:pStyle w:val="Compact"/>
              <w:jc w:val="left"/>
            </w:pPr>
            <w:r>
              <w:t xml:space="preserve">divergence de date (§ D)</w:t>
            </w:r>
          </w:p>
        </w:tc>
      </w:tr>
      <w:tr>
        <w:tc>
          <w:tcPr/>
          <w:p>
            <w:pPr>
              <w:pStyle w:val="Compact"/>
              <w:jc w:val="left"/>
            </w:pPr>
            <w:r>
              <w:rPr>
                <w:bCs/>
                <w:b/>
              </w:rPr>
              <w:t xml:space="preserve">165</w:t>
            </w:r>
          </w:p>
        </w:tc>
        <w:tc>
          <w:tcPr/>
          <w:p>
            <w:pPr>
              <w:pStyle w:val="Compact"/>
              <w:jc w:val="left"/>
            </w:pPr>
            <w:r>
              <w:t xml:space="preserve">EDB40555 : seul</w:t>
            </w:r>
            <w:r>
              <w:t xml:space="preserve"> </w:t>
            </w:r>
            <w:r>
              <w:rPr>
                <w:iCs/>
                <w:i/>
              </w:rPr>
              <w:t xml:space="preserve">…dest…</w:t>
            </w:r>
            <w:r>
              <w:t xml:space="preserve"> </w:t>
            </w:r>
            <w:r>
              <w:t xml:space="preserve">est lu ; date EDB 300-399 ; « Ferrua putat » 372</w:t>
            </w:r>
          </w:p>
        </w:tc>
        <w:tc>
          <w:tcPr/>
          <w:p>
            <w:pPr>
              <w:pStyle w:val="Compact"/>
              <w:jc w:val="left"/>
            </w:pPr>
            <w:r>
              <w:t xml:space="preserve">année 372</w:t>
            </w:r>
            <w:r>
              <w:t xml:space="preserve"> </w:t>
            </w:r>
            <w:r>
              <w:rPr>
                <w:bCs/>
                <w:b/>
              </w:rPr>
              <w:t xml:space="preserve">conjecturale</w:t>
            </w:r>
          </w:p>
        </w:tc>
      </w:tr>
      <w:tr>
        <w:tc>
          <w:tcPr/>
          <w:p>
            <w:pPr>
              <w:pStyle w:val="Compact"/>
              <w:jc w:val="left"/>
            </w:pPr>
            <w:r>
              <w:rPr>
                <w:bCs/>
                <w:b/>
              </w:rPr>
              <w:t xml:space="preserve">220</w:t>
            </w:r>
          </w:p>
        </w:tc>
        <w:tc>
          <w:tcPr/>
          <w:p>
            <w:pPr>
              <w:pStyle w:val="Compact"/>
              <w:jc w:val="left"/>
            </w:pPr>
            <w:r>
              <w:t xml:space="preserve">EDB30687 :</w:t>
            </w:r>
            <w:r>
              <w:t xml:space="preserve"> </w:t>
            </w:r>
            <w:r>
              <w:rPr>
                <w:iCs/>
                <w:i/>
              </w:rPr>
              <w:t xml:space="preserve">…erio</w:t>
            </w:r>
            <w:r>
              <w:t xml:space="preserve"> </w:t>
            </w:r>
            <w:r>
              <w:t xml:space="preserve">seul lu ;</w:t>
            </w:r>
            <w:r>
              <w:t xml:space="preserve"> </w:t>
            </w:r>
            <w:r>
              <w:rPr>
                <w:iCs/>
                <w:i/>
              </w:rPr>
              <w:t xml:space="preserve">Val]erio, Gal]erio, Neot]erio, Ast]erio</w:t>
            </w:r>
            <w:r>
              <w:t xml:space="preserve"> </w:t>
            </w:r>
            <w:r>
              <w:t xml:space="preserve">possibles</w:t>
            </w:r>
          </w:p>
        </w:tc>
        <w:tc>
          <w:tcPr/>
          <w:p>
            <w:pPr>
              <w:pStyle w:val="Compact"/>
              <w:jc w:val="left"/>
            </w:pPr>
            <w:r>
              <w:t xml:space="preserve">année 381</w:t>
            </w:r>
            <w:r>
              <w:t xml:space="preserve"> </w:t>
            </w:r>
            <w:r>
              <w:rPr>
                <w:bCs/>
                <w:b/>
              </w:rPr>
              <w:t xml:space="preserve">incertaine</w:t>
            </w:r>
            <w:r>
              <w:t xml:space="preserve"> </w:t>
            </w:r>
            <w:r>
              <w:t xml:space="preserve">(390 possible)</w:t>
            </w:r>
          </w:p>
        </w:tc>
      </w:tr>
      <w:tr>
        <w:tc>
          <w:tcPr/>
          <w:p>
            <w:pPr>
              <w:pStyle w:val="Compact"/>
              <w:jc w:val="left"/>
            </w:pPr>
            <w:r>
              <w:rPr>
                <w:bCs/>
                <w:b/>
              </w:rPr>
              <w:t xml:space="preserve">378</w:t>
            </w:r>
          </w:p>
        </w:tc>
        <w:tc>
          <w:tcPr/>
          <w:p>
            <w:pPr>
              <w:pStyle w:val="Compact"/>
              <w:jc w:val="left"/>
            </w:pPr>
            <w:r>
              <w:t xml:space="preserve">EDB25348 (ICVR III 8345) et ses joints EDB25442 et EDB42793 ne contiennent que le début du poème ; selon l’EDB, le monument compte quatre fragments</w:t>
            </w:r>
          </w:p>
        </w:tc>
        <w:tc>
          <w:tcPr/>
          <w:p>
            <w:pPr>
              <w:pStyle w:val="Compact"/>
              <w:jc w:val="left"/>
            </w:pPr>
            <w:r>
              <w:t xml:space="preserve">la formule</w:t>
            </w:r>
            <w:r>
              <w:t xml:space="preserve"> </w:t>
            </w:r>
            <w:r>
              <w:rPr>
                <w:iCs/>
                <w:i/>
              </w:rPr>
              <w:t xml:space="preserve">[Olybrio et Pro]bino</w:t>
            </w:r>
            <w:r>
              <w:t xml:space="preserve"> </w:t>
            </w:r>
            <w:r>
              <w:t xml:space="preserve">(395) et la généalogie épiscopale du texte EDCS ne se retrouvent dans aucune des trois fiches ;</w:t>
            </w:r>
            <w:r>
              <w:t xml:space="preserve"> </w:t>
            </w:r>
            <w:r>
              <w:rPr>
                <w:bCs/>
                <w:b/>
              </w:rPr>
              <w:t xml:space="preserve">à vérifier sur ICVR III 8345</w:t>
            </w:r>
          </w:p>
        </w:tc>
      </w:tr>
      <w:tr>
        <w:tc>
          <w:tcPr/>
          <w:p>
            <w:pPr>
              <w:pStyle w:val="Compact"/>
              <w:jc w:val="left"/>
            </w:pPr>
            <w:r>
              <w:rPr>
                <w:bCs/>
                <w:b/>
              </w:rPr>
              <w:t xml:space="preserve">306</w:t>
            </w:r>
          </w:p>
        </w:tc>
        <w:tc>
          <w:tcPr/>
          <w:p>
            <w:pPr>
              <w:pStyle w:val="Compact"/>
              <w:jc w:val="left"/>
            </w:pPr>
            <w:r>
              <w:t xml:space="preserve">Le texte EDCS contient une ligne absente du texte EDB :</w:t>
            </w:r>
            <w:r>
              <w:t xml:space="preserve"> </w:t>
            </w:r>
            <w:r>
              <w:rPr>
                <w:iCs/>
                <w:i/>
              </w:rPr>
              <w:t xml:space="preserve">et innocentiae optimique propositi Maximilla virgo ancilla dei civis Pannonia qu(a)e</w:t>
            </w:r>
          </w:p>
        </w:tc>
        <w:tc>
          <w:tcPr/>
          <w:p>
            <w:pPr>
              <w:pStyle w:val="Compact"/>
              <w:jc w:val="left"/>
            </w:pPr>
            <w:r>
              <w:rPr>
                <w:bCs/>
                <w:b/>
              </w:rPr>
              <w:t xml:space="preserve">à vérifier sur ICVR V 13355</w:t>
            </w:r>
            <w:r>
              <w:t xml:space="preserve"> </w:t>
            </w:r>
            <w:r>
              <w:t xml:space="preserve">: la ligne porte du vocabulaire religieux (</w:t>
            </w:r>
            <w:r>
              <w:rPr>
                <w:iCs/>
                <w:i/>
              </w:rPr>
              <w:t xml:space="preserve">virgo</w:t>
            </w:r>
            <w:r>
              <w:t xml:space="preserve">,</w:t>
            </w:r>
            <w:r>
              <w:t xml:space="preserve"> </w:t>
            </w:r>
            <w:r>
              <w:rPr>
                <w:iCs/>
                <w:i/>
              </w:rPr>
              <w:t xml:space="preserve">ancilla dei</w:t>
            </w:r>
            <w:r>
              <w:t xml:space="preserve">)</w:t>
            </w:r>
          </w:p>
        </w:tc>
      </w:tr>
      <w:tr>
        <w:tc>
          <w:tcPr/>
          <w:p>
            <w:pPr>
              <w:pStyle w:val="Compact"/>
              <w:jc w:val="left"/>
            </w:pPr>
            <w:r>
              <w:t xml:space="preserve">19</w:t>
            </w:r>
          </w:p>
        </w:tc>
        <w:tc>
          <w:tcPr/>
          <w:p>
            <w:pPr>
              <w:pStyle w:val="Compact"/>
              <w:jc w:val="left"/>
            </w:pPr>
            <w:r>
              <w:t xml:space="preserve">L’EDCS restitue beaucoup plus que l’EDB :</w:t>
            </w:r>
            <w:r>
              <w:t xml:space="preserve"> </w:t>
            </w:r>
            <w:r>
              <w:rPr>
                <w:iCs/>
                <w:i/>
              </w:rPr>
              <w:t xml:space="preserve">c(larissimae) m(emoriae) f(eminae)</w:t>
            </w:r>
            <w:r>
              <w:t xml:space="preserve">,</w:t>
            </w:r>
            <w:r>
              <w:t xml:space="preserve"> </w:t>
            </w:r>
            <w:r>
              <w:rPr>
                <w:iCs/>
                <w:i/>
              </w:rPr>
              <w:t xml:space="preserve">Lea</w:t>
            </w:r>
            <w:r>
              <w:t xml:space="preserve">,</w:t>
            </w:r>
            <w:r>
              <w:t xml:space="preserve"> </w:t>
            </w:r>
            <w:r>
              <w:rPr>
                <w:iCs/>
                <w:i/>
              </w:rPr>
              <w:t xml:space="preserve">ante annos duos</w:t>
            </w:r>
          </w:p>
        </w:tc>
        <w:tc>
          <w:tcPr/>
          <w:p>
            <w:pPr>
              <w:pStyle w:val="Compact"/>
              <w:jc w:val="left"/>
            </w:pPr>
            <w:r>
              <w:t xml:space="preserve">ne pas exploiter ces éléments sans l’ICVR</w:t>
            </w:r>
          </w:p>
        </w:tc>
      </w:tr>
      <w:tr>
        <w:tc>
          <w:tcPr/>
          <w:p>
            <w:pPr>
              <w:pStyle w:val="Compact"/>
              <w:jc w:val="left"/>
            </w:pPr>
            <w:r>
              <w:t xml:space="preserve">134</w:t>
            </w:r>
          </w:p>
        </w:tc>
        <w:tc>
          <w:tcPr/>
          <w:p>
            <w:pPr>
              <w:pStyle w:val="Compact"/>
              <w:jc w:val="left"/>
            </w:pPr>
            <w:r>
              <w:t xml:space="preserve">Grande dalle en plusieurs textes, remployée en morceaux ;</w:t>
            </w:r>
            <w:r>
              <w:t xml:space="preserve"> </w:t>
            </w:r>
            <w:r>
              <w:rPr>
                <w:iCs/>
                <w:i/>
              </w:rPr>
              <w:t xml:space="preserve">Ca[t]afronies</w:t>
            </w:r>
            <w:r>
              <w:t xml:space="preserve"> </w:t>
            </w:r>
            <w:r>
              <w:t xml:space="preserve">(EDCS) contre</w:t>
            </w:r>
            <w:r>
              <w:t xml:space="preserve"> </w:t>
            </w:r>
            <w:r>
              <w:rPr>
                <w:iCs/>
                <w:i/>
              </w:rPr>
              <w:t xml:space="preserve">Ca[l]ifronies</w:t>
            </w:r>
            <w:r>
              <w:t xml:space="preserve"> </w:t>
            </w:r>
            <w:r>
              <w:t xml:space="preserve">(EDB)</w:t>
            </w:r>
          </w:p>
        </w:tc>
        <w:tc>
          <w:tcPr/>
          <w:p>
            <w:pPr>
              <w:pStyle w:val="Compact"/>
              <w:jc w:val="left"/>
            </w:pPr>
            <w:r>
              <w:t xml:space="preserve">date portée par une partie du monument seulement</w:t>
            </w:r>
          </w:p>
        </w:tc>
      </w:tr>
      <w:tr>
        <w:tc>
          <w:tcPr/>
          <w:p>
            <w:pPr>
              <w:pStyle w:val="Compact"/>
              <w:jc w:val="left"/>
            </w:pPr>
            <w:r>
              <w:t xml:space="preserve">153</w:t>
            </w:r>
          </w:p>
        </w:tc>
        <w:tc>
          <w:tcPr/>
          <w:p>
            <w:pPr>
              <w:pStyle w:val="Compact"/>
              <w:jc w:val="left"/>
            </w:pPr>
            <w:r>
              <w:t xml:space="preserve">L’EDB ne restitue pas</w:t>
            </w:r>
            <w:r>
              <w:t xml:space="preserve"> </w:t>
            </w:r>
            <w:r>
              <w:rPr>
                <w:iCs/>
                <w:i/>
              </w:rPr>
              <w:t xml:space="preserve">Gratiano</w:t>
            </w:r>
            <w:r>
              <w:t xml:space="preserve"> </w:t>
            </w:r>
            <w:r>
              <w:t xml:space="preserve">; l’année 371 repose sur</w:t>
            </w:r>
            <w:r>
              <w:t xml:space="preserve"> </w:t>
            </w:r>
            <w:r>
              <w:rPr>
                <w:iCs/>
                <w:i/>
              </w:rPr>
              <w:t xml:space="preserve">Probo</w:t>
            </w:r>
            <w:r>
              <w:t xml:space="preserve"> </w:t>
            </w:r>
            <w:r>
              <w:t xml:space="preserve">(lu)</w:t>
            </w:r>
          </w:p>
        </w:tc>
        <w:tc>
          <w:tcPr/>
          <w:p>
            <w:pPr>
              <w:pStyle w:val="Compact"/>
              <w:jc w:val="left"/>
            </w:pPr>
            <w:r>
              <w:t xml:space="preserve">sans effet sur l’année</w:t>
            </w:r>
          </w:p>
        </w:tc>
      </w:tr>
      <w:tr>
        <w:tc>
          <w:tcPr/>
          <w:p>
            <w:pPr>
              <w:pStyle w:val="Compact"/>
              <w:jc w:val="left"/>
            </w:pPr>
            <w:r>
              <w:t xml:space="preserve">290</w:t>
            </w:r>
          </w:p>
        </w:tc>
        <w:tc>
          <w:tcPr/>
          <w:p>
            <w:pPr>
              <w:pStyle w:val="Compact"/>
              <w:jc w:val="left"/>
            </w:pPr>
            <w:r>
              <w:t xml:space="preserve">L’EDB s’arrête à</w:t>
            </w:r>
            <w:r>
              <w:t xml:space="preserve"> </w:t>
            </w:r>
            <w:r>
              <w:rPr>
                <w:iCs/>
                <w:i/>
              </w:rPr>
              <w:t xml:space="preserve">Ho[norio</w:t>
            </w:r>
            <w:r>
              <w:t xml:space="preserve">. Ferrua : seul le consulat de 386 nomme Honorius</w:t>
            </w:r>
            <w:r>
              <w:t xml:space="preserve"> </w:t>
            </w:r>
            <w:r>
              <w:rPr>
                <w:iCs/>
                <w:i/>
              </w:rPr>
              <w:t xml:space="preserve">Flavius</w:t>
            </w:r>
          </w:p>
        </w:tc>
        <w:tc>
          <w:tcPr/>
          <w:p>
            <w:pPr>
              <w:pStyle w:val="Compact"/>
              <w:jc w:val="left"/>
            </w:pPr>
            <w:r>
              <w:t xml:space="preserve">386 argumenté, mais restitué</w:t>
            </w:r>
          </w:p>
        </w:tc>
      </w:tr>
      <w:tr>
        <w:tc>
          <w:tcPr/>
          <w:p>
            <w:pPr>
              <w:pStyle w:val="Compact"/>
              <w:jc w:val="left"/>
            </w:pPr>
            <w:r>
              <w:t xml:space="preserve">400</w:t>
            </w:r>
          </w:p>
        </w:tc>
        <w:tc>
          <w:tcPr/>
          <w:p>
            <w:pPr>
              <w:pStyle w:val="Compact"/>
              <w:jc w:val="left"/>
            </w:pPr>
            <w:r>
              <w:t xml:space="preserve">Notes de Diehl : la date</w:t>
            </w:r>
            <w:r>
              <w:t xml:space="preserve"> </w:t>
            </w:r>
            <w:r>
              <w:rPr>
                <w:iCs/>
                <w:i/>
              </w:rPr>
              <w:t xml:space="preserve">VIIIX kal. mart.</w:t>
            </w:r>
            <w:r>
              <w:t xml:space="preserve"> </w:t>
            </w:r>
            <w:r>
              <w:t xml:space="preserve">est fautive ;</w:t>
            </w:r>
            <w:r>
              <w:t xml:space="preserve"> </w:t>
            </w:r>
            <w:r>
              <w:rPr>
                <w:iCs/>
                <w:i/>
              </w:rPr>
              <w:t xml:space="preserve">Pascasius</w:t>
            </w:r>
            <w:r>
              <w:t xml:space="preserve"> </w:t>
            </w:r>
            <w:r>
              <w:t xml:space="preserve">n’est pas un évêque de Rome connu</w:t>
            </w:r>
          </w:p>
        </w:tc>
        <w:tc>
          <w:tcPr/>
          <w:p>
            <w:pPr>
              <w:pStyle w:val="Compact"/>
              <w:jc w:val="left"/>
            </w:pPr>
            <w:r>
              <w:t xml:space="preserve">jour douteux ; année inchangée</w:t>
            </w:r>
          </w:p>
        </w:tc>
      </w:tr>
      <w:tr>
        <w:tc>
          <w:tcPr/>
          <w:p>
            <w:pPr>
              <w:pStyle w:val="Compact"/>
              <w:jc w:val="left"/>
            </w:pPr>
            <w:r>
              <w:t xml:space="preserve">470</w:t>
            </w:r>
          </w:p>
        </w:tc>
        <w:tc>
          <w:tcPr/>
          <w:p>
            <w:pPr>
              <w:pStyle w:val="Compact"/>
              <w:jc w:val="left"/>
            </w:pPr>
            <w:r>
              <w:t xml:space="preserve">L’EDB signale l’emprunt virgilien du v. 7 (</w:t>
            </w:r>
            <w:r>
              <w:rPr>
                <w:iCs/>
                <w:i/>
              </w:rPr>
              <w:t xml:space="preserve">Aen.</w:t>
            </w:r>
            <w:r>
              <w:t xml:space="preserve"> </w:t>
            </w:r>
            <w:r>
              <w:t xml:space="preserve">VI 429 ; XI 28)</w:t>
            </w:r>
          </w:p>
        </w:tc>
        <w:tc>
          <w:tcPr/>
          <w:p>
            <w:pPr>
              <w:pStyle w:val="Compact"/>
              <w:jc w:val="left"/>
            </w:pPr>
            <w:r>
              <w:t xml:space="preserve">à exploiter dans l’étude du formulaire</w:t>
            </w:r>
          </w:p>
        </w:tc>
      </w:tr>
    </w:tbl>
    <w:p>
      <w:pPr>
        <w:pStyle w:val="BodyText"/>
      </w:pPr>
      <w:r>
        <w:t xml:space="preserve">Les fiches donnent aussi des</w:t>
      </w:r>
      <w:r>
        <w:t xml:space="preserve"> </w:t>
      </w:r>
      <w:r>
        <w:rPr>
          <w:bCs/>
          <w:b/>
        </w:rPr>
        <w:t xml:space="preserve">données matérielles</w:t>
      </w:r>
      <w:r>
        <w:t xml:space="preserve"> </w:t>
      </w:r>
      <w:r>
        <w:t xml:space="preserve">qui manquaient à la v2.0 : support, dimensions, hauteur des lettres, lieu de conservation, pierre perdue. Elles signalent également des photographies : archives PCAS pour les n° 134, 306, 378 et 445, dessins d’IC I. Voir la colonne « constat » du CSV.</w:t>
      </w:r>
    </w:p>
    <w:bookmarkEnd w:id="51"/>
    <w:bookmarkStart w:id="52" w:name="conséquences-cumulées-pour-la-datation"/>
    <w:p>
      <w:pPr>
        <w:pStyle w:val="Heading3"/>
      </w:pPr>
      <w:r>
        <w:t xml:space="preserve">Conséquences cumulées pour la datation</w:t>
      </w:r>
    </w:p>
    <w:p>
      <w:pPr>
        <w:numPr>
          <w:ilvl w:val="0"/>
          <w:numId w:val="1025"/>
        </w:numPr>
        <w:pStyle w:val="Compact"/>
      </w:pPr>
      <w:r>
        <w:rPr>
          <w:bCs/>
          <w:b/>
        </w:rPr>
        <w:t xml:space="preserve">Datations incertaines ou conjecturales à signaler :</w:t>
      </w:r>
      <w:r>
        <w:t xml:space="preserve"> </w:t>
      </w:r>
      <w:r>
        <w:t xml:space="preserve">n° 52 (333/358), 165 (372 conjectural), 220 (381/390 ?), 328 (381/390, § D), 141 (370/387), 431 (398/399). S’y ajoutent les 20 textes de niveau R (§ G).</w:t>
      </w:r>
    </w:p>
    <w:p>
      <w:pPr>
        <w:numPr>
          <w:ilvl w:val="0"/>
          <w:numId w:val="1025"/>
        </w:numPr>
        <w:pStyle w:val="Compact"/>
      </w:pPr>
      <w:r>
        <w:rPr>
          <w:bCs/>
          <w:b/>
        </w:rPr>
        <w:t xml:space="preserve">Statut du n° 52.</w:t>
      </w:r>
      <w:r>
        <w:t xml:space="preserve"> </w:t>
      </w:r>
      <w:r>
        <w:t xml:space="preserve">Le corpus de 473 textes inclut toujours le n° 52, avec la mention « date incertaine, peut-être 333 ».</w:t>
      </w:r>
    </w:p>
    <w:bookmarkEnd w:id="52"/>
    <w:bookmarkEnd w:id="53"/>
    <w:bookmarkEnd w:id="54"/>
    <w:bookmarkStart w:id="59" w:name="Xa68eddb713c15d4621a12d96ed3a134351cadfc"/>
    <w:p>
      <w:pPr>
        <w:pStyle w:val="Heading1"/>
      </w:pPr>
      <w:r>
        <w:t xml:space="preserve">5.4 Confrontation avec l’Epigraphic Database Bari (texte proposé pour la v3)</w:t>
      </w:r>
    </w:p>
    <w:p>
      <w:pPr>
        <w:pStyle w:val="FirstParagraph"/>
      </w:pPr>
      <w:r>
        <w:rPr>
          <w:iCs/>
          <w:i/>
        </w:rPr>
        <w:t xml:space="preserve">Section nouvelle, à insérer après le § 5.3 de la v2.0. Les chiffres sont ceux des lots 4-5 (456 notices appariées sur 478) et seront mis à jour à la fin de la collation.</w:t>
      </w:r>
    </w:p>
    <w:bookmarkStart w:id="55" w:name="pourquoi-une-seconde-base"/>
    <w:p>
      <w:pPr>
        <w:pStyle w:val="Heading2"/>
      </w:pPr>
      <w:r>
        <w:t xml:space="preserve">5.4.1 Pourquoi une seconde base</w:t>
      </w:r>
    </w:p>
    <w:p>
      <w:pPr>
        <w:pStyle w:val="FirstParagraph"/>
      </w:pPr>
      <w:r>
        <w:t xml:space="preserve">Les sections précédentes comparaient deux états d’une</w:t>
      </w:r>
      <w:r>
        <w:t xml:space="preserve"> </w:t>
      </w:r>
      <w:r>
        <w:rPr>
          <w:bCs/>
          <w:b/>
        </w:rPr>
        <w:t xml:space="preserve">même</w:t>
      </w:r>
      <w:r>
        <w:t xml:space="preserve"> </w:t>
      </w:r>
      <w:r>
        <w:t xml:space="preserve">base, les exports EDCS de 2020 et de 2022. Cette comparaison révèle les pertes dues à l’export. Elle ne dit rien des choix faits par l’EDCS lorsqu’elle saisit l’édition imprimée. L’Epigraphic Database Bari (EDB), conduite à l’université de Bari depuis 1988, se consacre aux inscriptions chrétiennes de Rome. Elle se donne pour tâche de mettre à jour les ICVR, et ses fiches sont établies et révisées par des épigraphistes nommés sur chaque fiche. C’est donc un</w:t>
      </w:r>
      <w:r>
        <w:t xml:space="preserve"> </w:t>
      </w:r>
      <w:r>
        <w:rPr>
          <w:bCs/>
          <w:b/>
        </w:rPr>
        <w:t xml:space="preserve">témoin indépendant</w:t>
      </w:r>
      <w:r>
        <w:t xml:space="preserve"> </w:t>
      </w:r>
      <w:r>
        <w:t xml:space="preserve">de la transmission. Il reste toutefois secondaire : comme l’EDCS, l’EDB dépend de l’ICVR, et une concordance entre les deux bases ne remplace ni l’édition imprimée ni la pierre.</w:t>
      </w:r>
    </w:p>
    <w:bookmarkEnd w:id="55"/>
    <w:bookmarkStart w:id="56" w:name="procédure"/>
    <w:p>
      <w:pPr>
        <w:pStyle w:val="Heading2"/>
      </w:pPr>
      <w:r>
        <w:t xml:space="preserve">5.4.2 Procédure</w:t>
      </w:r>
    </w:p>
    <w:p>
      <w:pPr>
        <w:pStyle w:val="FirstParagraph"/>
      </w:pPr>
      <w:r>
        <w:t xml:space="preserve">Les fiches de l’EDB ont été lues le 14 octobre 2026 dans les listes publiques de la base, triées par numéro ICVR. Chaque notice du présent corpus pourvue d’une référence ICUR a été appariée à la fiche EDB de même numéro, en choisissant, en cas de sous-numéros, la plus proche par le texte. Un indice de similarité, calculé sur les textes normalisés, sert seulement à</w:t>
      </w:r>
      <w:r>
        <w:t xml:space="preserve"> </w:t>
      </w:r>
      <w:r>
        <w:rPr>
          <w:bCs/>
          <w:b/>
        </w:rPr>
        <w:t xml:space="preserve">trier</w:t>
      </w:r>
      <w:r>
        <w:t xml:space="preserve"> </w:t>
      </w:r>
      <w:r>
        <w:t xml:space="preserve">les cas. Chaque écart retenu dans les dossiers a été relu. Les pages lues, leurs dates de consultation et les échecs d’accès figurent au registre des consultations. Les données de l’EDB sont publiées sous licence CC BY-SA 4.0.</w:t>
      </w:r>
    </w:p>
    <w:p>
      <w:pPr>
        <w:pStyle w:val="BodyText"/>
      </w:pPr>
      <w:r>
        <w:t xml:space="preserve">À la date de cette version, 456 notices sur 478 ont été appariées. 281 concordent, aux conventions de notation près ; 137 présentent des écarts à examiner ; 38 divergent fortement, le plus souvent parce que l’un des deux textes est tronqué.</w:t>
      </w:r>
    </w:p>
    <w:bookmarkEnd w:id="56"/>
    <w:bookmarkStart w:id="57" w:name="quatre-types-décarts"/>
    <w:p>
      <w:pPr>
        <w:pStyle w:val="Heading2"/>
      </w:pPr>
      <w:r>
        <w:t xml:space="preserve">5.4.3 Quatre types d’écarts</w:t>
      </w:r>
    </w:p>
    <w:p>
      <w:pPr>
        <w:numPr>
          <w:ilvl w:val="0"/>
          <w:numId w:val="1026"/>
        </w:numPr>
        <w:pStyle w:val="Compact"/>
      </w:pPr>
      <w:r>
        <w:rPr>
          <w:bCs/>
          <w:b/>
        </w:rPr>
        <w:t xml:space="preserve">Lignes omises par l’EDCS.</w:t>
      </w:r>
      <w:r>
        <w:t xml:space="preserve"> </w:t>
      </w:r>
      <w:r>
        <w:t xml:space="preserve">Pour huit notices que la v2.0 tenait pour dépourvues de tout élément consulaire, l’EDB transmet la formule de date (n° 51, 84, 180, 214, 268, 388, 445, 447). L’épitaphe de Cucurbitinus et Abundantius (n° 214) se termine dans l’EDB par la date</w:t>
      </w:r>
      <w:r>
        <w:t xml:space="preserve"> </w:t>
      </w:r>
      <w:r>
        <w:rPr>
          <w:rStyle w:val="VerbatimChar"/>
        </w:rPr>
        <w:t xml:space="preserve">dd(ominis) nn(ostris) Gratiano V et Teodosio aaugg(ustis)</w:t>
      </w:r>
      <w:r>
        <w:t xml:space="preserve"> </w:t>
      </w:r>
      <w:r>
        <w:t xml:space="preserve">(380) ; le texte de l’EDCS s’arrête trois lignes plus tôt. Dans le texte grec n° 447, l’EDB donne avant l’imprécation cinq lignes, dont la date</w:t>
      </w:r>
      <w:r>
        <w:t xml:space="preserve"> </w:t>
      </w:r>
      <w:r>
        <w:rPr>
          <w:rStyle w:val="VerbatimChar"/>
        </w:rPr>
        <w:t xml:space="preserve">[ὑπατίᾳ Βινκεντί]ου καὶ Φραβίτου</w:t>
      </w:r>
      <w:r>
        <w:t xml:space="preserve"> </w:t>
      </w:r>
      <w:r>
        <w:t xml:space="preserve">(401), que l’EDCS ne transmet pas.</w:t>
      </w:r>
    </w:p>
    <w:p>
      <w:pPr>
        <w:numPr>
          <w:ilvl w:val="0"/>
          <w:numId w:val="1026"/>
        </w:numPr>
        <w:pStyle w:val="Compact"/>
      </w:pPr>
      <w:r>
        <w:rPr>
          <w:bCs/>
          <w:b/>
        </w:rPr>
        <w:t xml:space="preserve">Signes figurés.</w:t>
      </w:r>
      <w:r>
        <w:t xml:space="preserve"> </w:t>
      </w:r>
      <w:r>
        <w:t xml:space="preserve">L’EDB décrit chrismes, croix, oiseaux, palmes et orants. L’EDCS ne les mentionne pas. Sur les 456 notices appariées, 47 (10,3 %) portent un chrisme ou une croix selon l’EDB. Dans un cas (n° 38), l’EDCS rend le chrisme par un mot développé,</w:t>
      </w:r>
      <w:r>
        <w:t xml:space="preserve"> </w:t>
      </w:r>
      <w:r>
        <w:rPr>
          <w:iCs/>
          <w:i/>
        </w:rPr>
        <w:t xml:space="preserve">Chr(isti)</w:t>
      </w:r>
      <w:r>
        <w:t xml:space="preserve">, ce qui produit un faux vocabulaire religieux.</w:t>
      </w:r>
    </w:p>
    <w:p>
      <w:pPr>
        <w:numPr>
          <w:ilvl w:val="0"/>
          <w:numId w:val="1026"/>
        </w:numPr>
        <w:pStyle w:val="Compact"/>
      </w:pPr>
      <w:r>
        <w:rPr>
          <w:bCs/>
          <w:b/>
        </w:rPr>
        <w:t xml:space="preserve">Restitutions différentes.</w:t>
      </w:r>
      <w:r>
        <w:t xml:space="preserve"> </w:t>
      </w:r>
      <w:r>
        <w:t xml:space="preserve">Dans le</w:t>
      </w:r>
      <w:r>
        <w:t xml:space="preserve"> </w:t>
      </w:r>
      <w:r>
        <w:rPr>
          <w:iCs/>
          <w:i/>
        </w:rPr>
        <w:t xml:space="preserve">carmen</w:t>
      </w:r>
      <w:r>
        <w:t xml:space="preserve"> </w:t>
      </w:r>
      <w:r>
        <w:t xml:space="preserve">d’Eleuteria (n° 73, 363), l’EDCS restitue</w:t>
      </w:r>
      <w:r>
        <w:t xml:space="preserve"> </w:t>
      </w:r>
      <w:r>
        <w:rPr>
          <w:rStyle w:val="VerbatimChar"/>
        </w:rPr>
        <w:t xml:space="preserve">[at tuus in caelo] spiritus … [vivit cum] sanctis</w:t>
      </w:r>
      <w:r>
        <w:t xml:space="preserve">, l’EDB</w:t>
      </w:r>
      <w:r>
        <w:t xml:space="preserve"> </w:t>
      </w:r>
      <w:r>
        <w:rPr>
          <w:rStyle w:val="VerbatimChar"/>
        </w:rPr>
        <w:t xml:space="preserve">[corpore namque tu]us spiritus … [est sociatu]s sanctis</w:t>
      </w:r>
      <w:r>
        <w:t xml:space="preserve">. Les deux restitutions sont conjecturales. Elles orientent différemment la lecture eschatologique : séjour céleste de l’esprit d’un côté, association aux saints de l’autre. Aucune ne peut fonder un argument.</w:t>
      </w:r>
    </w:p>
    <w:p>
      <w:pPr>
        <w:numPr>
          <w:ilvl w:val="0"/>
          <w:numId w:val="1026"/>
        </w:numPr>
        <w:pStyle w:val="Compact"/>
      </w:pPr>
      <w:r>
        <w:rPr>
          <w:bCs/>
          <w:b/>
        </w:rPr>
        <w:t xml:space="preserve">Datations divergentes.</w:t>
      </w:r>
      <w:r>
        <w:t xml:space="preserve"> </w:t>
      </w:r>
      <w:r>
        <w:t xml:space="preserve">Pour neuf notices (n° 40, 52, 141, 206, 278, 311, 328, 431, 434), l’année de l’EDB diffère de l’année retenue par la v2.0. Pour deux d’entre elles, la fiche EDB renvoie à CLRE : n° 52,</w:t>
      </w:r>
      <w:r>
        <w:t xml:space="preserve"> </w:t>
      </w:r>
      <w:r>
        <w:rPr>
          <w:iCs/>
          <w:i/>
        </w:rPr>
        <w:t xml:space="preserve">Da[</w:t>
      </w:r>
      <w:r>
        <w:t xml:space="preserve"> </w:t>
      </w:r>
      <w:r>
        <w:t xml:space="preserve">pouvant être Dalmatius (333) ; n° 431, 398 plutôt que 399. Certains écarts semblent être des erreurs de saisie de l’EDB (n° 206, 278). D’autres reflètent une véritable alternative de restitution, comme au n° 328, où le seul</w:t>
      </w:r>
      <w:r>
        <w:t xml:space="preserve"> </w:t>
      </w:r>
      <w:r>
        <w:rPr>
          <w:iCs/>
          <w:i/>
        </w:rPr>
        <w:t xml:space="preserve">…terio</w:t>
      </w:r>
      <w:r>
        <w:t xml:space="preserve"> </w:t>
      </w:r>
      <w:r>
        <w:t xml:space="preserve">lu peut appartenir à</w:t>
      </w:r>
      <w:r>
        <w:t xml:space="preserve"> </w:t>
      </w:r>
      <w:r>
        <w:rPr>
          <w:iCs/>
          <w:i/>
        </w:rPr>
        <w:t xml:space="preserve">Eucherio</w:t>
      </w:r>
      <w:r>
        <w:t xml:space="preserve"> </w:t>
      </w:r>
      <w:r>
        <w:t xml:space="preserve">(381) ou à</w:t>
      </w:r>
      <w:r>
        <w:t xml:space="preserve"> </w:t>
      </w:r>
      <w:r>
        <w:rPr>
          <w:iCs/>
          <w:i/>
        </w:rPr>
        <w:t xml:space="preserve">Neoterio</w:t>
      </w:r>
      <w:r>
        <w:t xml:space="preserve"> </w:t>
      </w:r>
      <w:r>
        <w:t xml:space="preserve">(390). Ces divergences ne peuvent être tranchées qu’avec l’ICVR et les fastes de référence.</w:t>
      </w:r>
    </w:p>
    <w:bookmarkEnd w:id="57"/>
    <w:bookmarkStart w:id="58" w:name="conséquences"/>
    <w:p>
      <w:pPr>
        <w:pStyle w:val="Heading2"/>
      </w:pPr>
      <w:r>
        <w:t xml:space="preserve">5.4.4 Conséquences</w:t>
      </w:r>
    </w:p>
    <w:p>
      <w:pPr>
        <w:numPr>
          <w:ilvl w:val="0"/>
          <w:numId w:val="1027"/>
        </w:numPr>
        <w:pStyle w:val="Compact"/>
      </w:pPr>
      <w:r>
        <w:rPr>
          <w:bCs/>
          <w:b/>
        </w:rPr>
        <w:t xml:space="preserve">Le texte de travail.</w:t>
      </w:r>
      <w:r>
        <w:t xml:space="preserve"> </w:t>
      </w:r>
      <w:r>
        <w:t xml:space="preserve">Pour chaque notice, la v3 doit donner le texte EDCS, la leçon EDB lorsqu’elle diffère et la décision prise, avec sa justification.</w:t>
      </w:r>
    </w:p>
    <w:p>
      <w:pPr>
        <w:numPr>
          <w:ilvl w:val="0"/>
          <w:numId w:val="1027"/>
        </w:numPr>
        <w:pStyle w:val="Compact"/>
      </w:pPr>
      <w:r>
        <w:rPr>
          <w:bCs/>
          <w:b/>
        </w:rPr>
        <w:t xml:space="preserve">Les statistiques.</w:t>
      </w:r>
      <w:r>
        <w:t xml:space="preserve"> </w:t>
      </w:r>
      <w:r>
        <w:t xml:space="preserve">Les mesures du formulaire et du vocabulaire religieux calculées sur le texte EDCS sont des</w:t>
      </w:r>
      <w:r>
        <w:t xml:space="preserve"> </w:t>
      </w:r>
      <w:r>
        <w:rPr>
          <w:bCs/>
          <w:b/>
        </w:rPr>
        <w:t xml:space="preserve">bornes inférieures</w:t>
      </w:r>
      <w:r>
        <w:t xml:space="preserve"> </w:t>
      </w:r>
      <w:r>
        <w:t xml:space="preserve">de ce qui est gravé. La proportion de textes portant une désignation verbale de Dieu ou du Christ (14/468) reste valable pour le vocabulaire. Elle ne mesure pas le marquage chrétien des monuments, qui doit être compté à part (signe christique).</w:t>
      </w:r>
    </w:p>
    <w:p>
      <w:pPr>
        <w:numPr>
          <w:ilvl w:val="0"/>
          <w:numId w:val="1027"/>
        </w:numPr>
        <w:pStyle w:val="Compact"/>
      </w:pPr>
      <w:r>
        <w:rPr>
          <w:bCs/>
          <w:b/>
        </w:rPr>
        <w:t xml:space="preserve">La chronologie.</w:t>
      </w:r>
      <w:r>
        <w:t xml:space="preserve"> </w:t>
      </w:r>
      <w:r>
        <w:t xml:space="preserve">Huit datations « par la base » deviennent des datations consulaires transmises, : quatre lues (n° 84, 214, 268, 388), trois partiellement restituées (n° 51, 180, 447) et une lue dont l’itération est incertaine (n° 445 : 400, ou 405 si</w:t>
      </w:r>
      <w:r>
        <w:t xml:space="preserve"> </w:t>
      </w:r>
      <w:r>
        <w:rPr>
          <w:iCs/>
          <w:i/>
        </w:rPr>
        <w:t xml:space="preserve">iterum</w:t>
      </w:r>
      <w:r>
        <w:t xml:space="preserve">). Les tableaux de distribution chronologique doivent distinguer ces cas. Indépendamment de l’EDB, un contrôle de l’état des lettres (dossiers, § G) montre que sur 457 textes à datation « directe », 20 (4,4 %) doivent leur année à une</w:t>
      </w:r>
      <w:r>
        <w:t xml:space="preserve"> </w:t>
      </w:r>
      <w:r>
        <w:rPr>
          <w:bCs/>
          <w:b/>
        </w:rPr>
        <w:t xml:space="preserve">restitution</w:t>
      </w:r>
      <w:r>
        <w:t xml:space="preserve"> </w:t>
      </w:r>
      <w:r>
        <w:t xml:space="preserve">du nom consulaire, et 2 à de simples initiales. La liste « consuls identifiés » de la v2.0 comptait en outre 30 noms de défunts ou de dédicants comme consuls, sans effet sur l’année.</w:t>
      </w:r>
    </w:p>
    <w:bookmarkEnd w:id="58"/>
    <w:bookmarkEnd w:id="59"/>
    <w:bookmarkStart w:id="64" w:name="X013066fcaebc4d76f0ff6ebb2fefd634695c41d"/>
    <w:p>
      <w:pPr>
        <w:pStyle w:val="Heading1"/>
      </w:pPr>
      <w:r>
        <w:t xml:space="preserve">État de la collation EDCS / EDB (au 14 octobre 2026, lots 4-5)</w:t>
      </w:r>
    </w:p>
    <w:bookmarkStart w:id="60" w:name="méthode-2"/>
    <w:p>
      <w:pPr>
        <w:pStyle w:val="Heading2"/>
      </w:pPr>
      <w:r>
        <w:t xml:space="preserve">Méthode</w:t>
      </w:r>
    </w:p>
    <w:p>
      <w:pPr>
        <w:numPr>
          <w:ilvl w:val="0"/>
          <w:numId w:val="1028"/>
        </w:numPr>
        <w:pStyle w:val="Compact"/>
      </w:pPr>
      <w:r>
        <w:rPr>
          <w:bCs/>
          <w:b/>
        </w:rPr>
        <w:t xml:space="preserve">Source B, EDB.</w:t>
      </w:r>
      <w:r>
        <w:t xml:space="preserve"> </w:t>
      </w:r>
      <w:r>
        <w:t xml:space="preserve">Les listes publiques de l’EDB (</w:t>
      </w:r>
      <w:r>
        <w:rPr>
          <w:rStyle w:val="VerbatimChar"/>
        </w:rPr>
        <w:t xml:space="preserve">https://www.edb.uniba.it/search/quick/do?page=N</w:t>
      </w:r>
      <w:r>
        <w:t xml:space="preserve">), triées par numéro ICVR, comptent 42 333 fiches sur 2 117 pages de 20 fiches. Chaque ligne donne l’ID EDB, le numéro ICVR, la bibliographie complémentaire, le rattachement topographique (</w:t>
      </w:r>
      <w:r>
        <w:rPr>
          <w:iCs/>
          <w:i/>
        </w:rPr>
        <w:t xml:space="preserve">Pertinence</w:t>
      </w:r>
      <w:r>
        <w:t xml:space="preserve">), le lieu de conservation, la date retenue par l’EDB et le texte. Le texte est parfois tronqué ; une mention «</w:t>
      </w:r>
      <w:r>
        <w:t xml:space="preserve"> </w:t>
      </w:r>
      <w:r>
        <w:rPr>
          <w:bCs/>
          <w:b/>
        </w:rPr>
        <w:t xml:space="preserve">More</w:t>
      </w:r>
      <w:r>
        <w:t xml:space="preserve"> </w:t>
      </w:r>
      <w:r>
        <w:t xml:space="preserve">» le signale.</w:t>
      </w:r>
    </w:p>
    <w:p>
      <w:pPr>
        <w:numPr>
          <w:ilvl w:val="0"/>
          <w:numId w:val="1028"/>
        </w:numPr>
        <w:pStyle w:val="Compact"/>
      </w:pPr>
      <w:r>
        <w:rPr>
          <w:bCs/>
          <w:b/>
        </w:rPr>
        <w:t xml:space="preserve">Accès.</w:t>
      </w:r>
      <w:r>
        <w:t xml:space="preserve"> </w:t>
      </w:r>
      <w:r>
        <w:t xml:space="preserve">Le conteneur de travail n’atteignait pas l’EDB directement. Les pages ont été lues par un relais de lecture web (Parallel Search,</w:t>
      </w:r>
      <w:r>
        <w:t xml:space="preserve"> </w:t>
      </w:r>
      <w:r>
        <w:rPr>
          <w:rStyle w:val="VerbatimChar"/>
        </w:rPr>
        <w:t xml:space="preserve">web_fetch</w:t>
      </w:r>
      <w:r>
        <w:t xml:space="preserve">) dont la réponse brute est archivée dans</w:t>
      </w:r>
      <w:r>
        <w:t xml:space="preserve"> </w:t>
      </w:r>
      <w:r>
        <w:rPr>
          <w:rStyle w:val="VerbatimChar"/>
        </w:rPr>
        <w:t xml:space="preserve">edb/brut/*.json</w:t>
      </w:r>
      <w:r>
        <w:t xml:space="preserve">. Le relais indique pour certaines pages une « date de publication » : c’est une estimation du relais, non une date de l’EDB.</w:t>
      </w:r>
    </w:p>
    <w:p>
      <w:pPr>
        <w:numPr>
          <w:ilvl w:val="0"/>
          <w:numId w:val="1028"/>
        </w:numPr>
        <w:pStyle w:val="Compact"/>
      </w:pPr>
      <w:r>
        <w:rPr>
          <w:bCs/>
          <w:b/>
        </w:rPr>
        <w:t xml:space="preserve">Appariement.</w:t>
      </w:r>
      <w:r>
        <w:t xml:space="preserve"> </w:t>
      </w:r>
      <w:r>
        <w:t xml:space="preserve">Les numéros ICUR de chaque notice viennent de la base v2.0 (champs « ICUR / refs catalogue » et « publications EDCS »). Quand plusieurs fiches EDB partagent un même numéro (sous-numéros a, b…), on retient la plus proche du texte EDCS. Le score est un</w:t>
      </w:r>
      <w:r>
        <w:t xml:space="preserve"> </w:t>
      </w:r>
      <w:r>
        <w:rPr>
          <w:rStyle w:val="VerbatimChar"/>
        </w:rPr>
        <w:t xml:space="preserve">SequenceMatcher</w:t>
      </w:r>
      <w:r>
        <w:t xml:space="preserve"> </w:t>
      </w:r>
      <w:r>
        <w:t xml:space="preserve">calculé sur les textes normalisés : sigles et développements retirés, u/v et i/j unifiés.</w:t>
      </w:r>
    </w:p>
    <w:p>
      <w:pPr>
        <w:numPr>
          <w:ilvl w:val="0"/>
          <w:numId w:val="1028"/>
        </w:numPr>
        <w:pStyle w:val="Compact"/>
      </w:pPr>
      <w:r>
        <w:rPr>
          <w:bCs/>
          <w:b/>
        </w:rPr>
        <w:t xml:space="preserve">Classement automatique.</w:t>
      </w:r>
    </w:p>
    <w:p>
      <w:pPr>
        <w:numPr>
          <w:ilvl w:val="1"/>
          <w:numId w:val="1029"/>
        </w:numPr>
        <w:pStyle w:val="Compact"/>
      </w:pPr>
      <w:r>
        <w:rPr>
          <w:iCs/>
          <w:i/>
        </w:rPr>
        <w:t xml:space="preserve">concordant</w:t>
      </w:r>
      <w:r>
        <w:t xml:space="preserve"> </w:t>
      </w:r>
      <w:r>
        <w:t xml:space="preserve">: score ≥ 0,92, écarts de notation seulement.</w:t>
      </w:r>
    </w:p>
    <w:p>
      <w:pPr>
        <w:numPr>
          <w:ilvl w:val="1"/>
          <w:numId w:val="1029"/>
        </w:numPr>
        <w:pStyle w:val="Compact"/>
      </w:pPr>
      <w:r>
        <w:rPr>
          <w:iCs/>
          <w:i/>
        </w:rPr>
        <w:t xml:space="preserve">écarts à examiner</w:t>
      </w:r>
      <w:r>
        <w:t xml:space="preserve"> </w:t>
      </w:r>
      <w:r>
        <w:t xml:space="preserve">: 0,75 ≤ score &lt; 0,92.</w:t>
      </w:r>
    </w:p>
    <w:p>
      <w:pPr>
        <w:numPr>
          <w:ilvl w:val="1"/>
          <w:numId w:val="1029"/>
        </w:numPr>
        <w:pStyle w:val="Compact"/>
      </w:pPr>
      <w:r>
        <w:rPr>
          <w:iCs/>
          <w:i/>
        </w:rPr>
        <w:t xml:space="preserve">divergence forte ou appariement douteux</w:t>
      </w:r>
      <w:r>
        <w:t xml:space="preserve"> </w:t>
      </w:r>
      <w:r>
        <w:t xml:space="preserve">: score &lt; 0,75. C’est souvent l’effet d’une troncature, d’un côté ou de l’autre.</w:t>
      </w:r>
    </w:p>
    <w:p>
      <w:pPr>
        <w:numPr>
          <w:ilvl w:val="1"/>
          <w:numId w:val="1029"/>
        </w:numPr>
        <w:pStyle w:val="Compact"/>
      </w:pPr>
      <w:r>
        <w:t xml:space="preserve">Ces seuils servent au</w:t>
      </w:r>
      <w:r>
        <w:t xml:space="preserve"> </w:t>
      </w:r>
      <w:r>
        <w:rPr>
          <w:bCs/>
          <w:b/>
        </w:rPr>
        <w:t xml:space="preserve">tri</w:t>
      </w:r>
      <w:r>
        <w:t xml:space="preserve">. Ils ne valent pas jugement philologique : chaque cas « à examiner » ou « divergence » doit être relu.</w:t>
      </w:r>
    </w:p>
    <w:bookmarkEnd w:id="60"/>
    <w:bookmarkStart w:id="61" w:name="résultats-chiffrés-478-notices"/>
    <w:p>
      <w:pPr>
        <w:pStyle w:val="Heading2"/>
      </w:pPr>
      <w:r>
        <w:t xml:space="preserve">Résultats chiffrés (478 notices)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statut</w:t>
            </w:r>
          </w:p>
        </w:tc>
        <w:tc>
          <w:tcPr/>
          <w:p>
            <w:pPr>
              <w:pStyle w:val="Compact"/>
              <w:jc w:val="left"/>
            </w:pPr>
            <w:r>
              <w:t xml:space="preserve">notices</w:t>
            </w:r>
          </w:p>
        </w:tc>
      </w:tr>
      <w:tr>
        <w:tc>
          <w:tcPr/>
          <w:p>
            <w:pPr>
              <w:pStyle w:val="Compact"/>
              <w:jc w:val="left"/>
            </w:pPr>
            <w:r>
              <w:t xml:space="preserve">concordant (écarts mineurs de notation)</w:t>
            </w:r>
          </w:p>
        </w:tc>
        <w:tc>
          <w:tcPr/>
          <w:p>
            <w:pPr>
              <w:pStyle w:val="Compact"/>
              <w:jc w:val="left"/>
            </w:pPr>
            <w:r>
              <w:t xml:space="preserve">281</w:t>
            </w:r>
          </w:p>
        </w:tc>
      </w:tr>
      <w:tr>
        <w:tc>
          <w:tcPr/>
          <w:p>
            <w:pPr>
              <w:pStyle w:val="Compact"/>
              <w:jc w:val="left"/>
            </w:pPr>
            <w:r>
              <w:t xml:space="preserve">écarts à examiner</w:t>
            </w:r>
          </w:p>
        </w:tc>
        <w:tc>
          <w:tcPr/>
          <w:p>
            <w:pPr>
              <w:pStyle w:val="Compact"/>
              <w:jc w:val="left"/>
            </w:pPr>
            <w:r>
              <w:t xml:space="preserve">137</w:t>
            </w:r>
          </w:p>
        </w:tc>
      </w:tr>
      <w:tr>
        <w:tc>
          <w:tcPr/>
          <w:p>
            <w:pPr>
              <w:pStyle w:val="Compact"/>
              <w:jc w:val="left"/>
            </w:pPr>
            <w:r>
              <w:t xml:space="preserve">divergence forte ou appariement douteux</w:t>
            </w:r>
          </w:p>
        </w:tc>
        <w:tc>
          <w:tcPr/>
          <w:p>
            <w:pPr>
              <w:pStyle w:val="Compact"/>
              <w:jc w:val="left"/>
            </w:pPr>
            <w:r>
              <w:t xml:space="preserve">38</w:t>
            </w:r>
          </w:p>
        </w:tc>
      </w:tr>
      <w:tr>
        <w:tc>
          <w:tcPr/>
          <w:p>
            <w:pPr>
              <w:pStyle w:val="Compact"/>
              <w:jc w:val="left"/>
            </w:pPr>
            <w:r>
              <w:rPr>
                <w:bCs/>
                <w:b/>
              </w:rPr>
              <w:t xml:space="preserve">appariées à une fiche EDB</w:t>
            </w:r>
          </w:p>
        </w:tc>
        <w:tc>
          <w:tcPr/>
          <w:p>
            <w:pPr>
              <w:pStyle w:val="Compact"/>
              <w:jc w:val="left"/>
            </w:pPr>
            <w:r>
              <w:rPr>
                <w:bCs/>
                <w:b/>
              </w:rPr>
              <w:t xml:space="preserve">456</w:t>
            </w:r>
          </w:p>
        </w:tc>
      </w:tr>
      <w:tr>
        <w:tc>
          <w:tcPr/>
          <w:p>
            <w:pPr>
              <w:pStyle w:val="Compact"/>
              <w:jc w:val="left"/>
            </w:pPr>
            <w:r>
              <w:t xml:space="preserve">numéro ICUR absent de la liste publique EDB (voir ci-dessous)</w:t>
            </w:r>
          </w:p>
        </w:tc>
        <w:tc>
          <w:tcPr/>
          <w:p>
            <w:pPr>
              <w:pStyle w:val="Compact"/>
              <w:jc w:val="left"/>
            </w:pPr>
            <w:r>
              <w:t xml:space="preserve">16</w:t>
            </w:r>
          </w:p>
        </w:tc>
      </w:tr>
      <w:tr>
        <w:tc>
          <w:tcPr/>
          <w:p>
            <w:pPr>
              <w:pStyle w:val="Compact"/>
              <w:jc w:val="left"/>
            </w:pPr>
            <w:r>
              <w:t xml:space="preserve">sans numéro ICUR, non trouvée (EDB ni EDH)</w:t>
            </w:r>
          </w:p>
        </w:tc>
        <w:tc>
          <w:tcPr/>
          <w:p>
            <w:pPr>
              <w:pStyle w:val="Compact"/>
              <w:jc w:val="left"/>
            </w:pPr>
            <w:r>
              <w:t xml:space="preserve">6</w:t>
            </w:r>
          </w:p>
        </w:tc>
      </w:tr>
    </w:tbl>
    <w:p>
      <w:pPr>
        <w:pStyle w:val="BodyText"/>
      </w:pPr>
      <w:r>
        <w:t xml:space="preserve">16 numéros ICUR se trouvent dans des plages déjà parcourues sans y figurer sous ce numéro : 4798, 4799, 4800, 4802, 4804, 4805, 4807, 4808, 4815, 4829, 4830, 4832, 4836, 4948, 5711 et 5712. La liste EDB saute par exemple de 4781 à 4900. Une recherche par texte (n° 202,</w:t>
      </w:r>
      <w:r>
        <w:t xml:space="preserve"> </w:t>
      </w:r>
      <w:r>
        <w:rPr>
          <w:iCs/>
          <w:i/>
        </w:rPr>
        <w:t xml:space="preserve">Cinnamius Opas lector tituli Fasciolae</w:t>
      </w:r>
      <w:r>
        <w:t xml:space="preserve">) n’a rien donné. L’EDB indique dans son bandeau que certaines fiches ne sont pas publiques (« only selected records are publicly available online on the Vatican Museums website »). Il est possible que ces numéros, attribués à la basilique Saint-Paul dans la v2.0, en fassent partie : c’est une</w:t>
      </w:r>
      <w:r>
        <w:t xml:space="preserve"> </w:t>
      </w:r>
      <w:r>
        <w:rPr>
          <w:bCs/>
          <w:b/>
        </w:rPr>
        <w:t xml:space="preserve">hypothèse non vérifiée</w:t>
      </w:r>
      <w:r>
        <w:t xml:space="preserve">. Les notices concernées sont les n° 12, 13, 25, 26, 45, 65, 116, 117, 149, 161, 202, 212, 374, 406, 407 et 452.</w:t>
      </w:r>
    </w:p>
    <w:bookmarkEnd w:id="61"/>
    <w:bookmarkStart w:id="62" w:name="apports-de-ledb-aux-notices-appariées"/>
    <w:p>
      <w:pPr>
        <w:pStyle w:val="Heading2"/>
      </w:pPr>
      <w:r>
        <w:t xml:space="preserve">Apports de l’EDB aux notices appariées</w:t>
      </w:r>
    </w:p>
    <w:p>
      <w:pPr>
        <w:numPr>
          <w:ilvl w:val="0"/>
          <w:numId w:val="1030"/>
        </w:numPr>
        <w:pStyle w:val="Compact"/>
      </w:pPr>
      <w:r>
        <w:rPr>
          <w:bCs/>
          <w:b/>
        </w:rPr>
        <w:t xml:space="preserve">Rattachement topographique</w:t>
      </w:r>
      <w:r>
        <w:t xml:space="preserve"> </w:t>
      </w:r>
      <w:r>
        <w:t xml:space="preserve">(absent de 478/478 notices v2.0, anomalie A052). Exemples :</w:t>
      </w:r>
      <w:r>
        <w:t xml:space="preserve"> </w:t>
      </w:r>
      <w:r>
        <w:rPr>
          <w:iCs/>
          <w:i/>
        </w:rPr>
        <w:t xml:space="preserve">Coem. Commodillae</w:t>
      </w:r>
      <w:r>
        <w:t xml:space="preserve"> </w:t>
      </w:r>
      <w:r>
        <w:t xml:space="preserve">(41),</w:t>
      </w:r>
      <w:r>
        <w:t xml:space="preserve"> </w:t>
      </w:r>
      <w:r>
        <w:rPr>
          <w:iCs/>
          <w:i/>
        </w:rPr>
        <w:t xml:space="preserve">Basilica ss. Nerei et Achillei in coem. Domitillae</w:t>
      </w:r>
      <w:r>
        <w:t xml:space="preserve"> </w:t>
      </w:r>
      <w:r>
        <w:t xml:space="preserve">(27),</w:t>
      </w:r>
      <w:r>
        <w:t xml:space="preserve"> </w:t>
      </w:r>
      <w:r>
        <w:rPr>
          <w:iCs/>
          <w:i/>
        </w:rPr>
        <w:t xml:space="preserve">Coem. Domitillae</w:t>
      </w:r>
      <w:r>
        <w:t xml:space="preserve"> </w:t>
      </w:r>
      <w:r>
        <w:t xml:space="preserve">(15),</w:t>
      </w:r>
      <w:r>
        <w:t xml:space="preserve"> </w:t>
      </w:r>
      <w:r>
        <w:rPr>
          <w:iCs/>
          <w:i/>
        </w:rPr>
        <w:t xml:space="preserve">Coem. Pontiani</w:t>
      </w:r>
      <w:r>
        <w:t xml:space="preserve"> </w:t>
      </w:r>
      <w:r>
        <w:t xml:space="preserve">(8), basilique Saint-Pierre et aire</w:t>
      </w:r>
      <w:r>
        <w:t xml:space="preserve"> </w:t>
      </w:r>
      <w:r>
        <w:rPr>
          <w:iCs/>
          <w:i/>
        </w:rPr>
        <w:t xml:space="preserve">sub divo</w:t>
      </w:r>
      <w:r>
        <w:t xml:space="preserve"> </w:t>
      </w:r>
      <w:r>
        <w:t xml:space="preserve">(8)… ;</w:t>
      </w:r>
      <w:r>
        <w:t xml:space="preserve"> </w:t>
      </w:r>
      <w:r>
        <w:rPr>
          <w:iCs/>
          <w:i/>
        </w:rPr>
        <w:t xml:space="preserve">Incertae originis</w:t>
      </w:r>
      <w:r>
        <w:t xml:space="preserve"> </w:t>
      </w:r>
      <w:r>
        <w:t xml:space="preserve">: 159.</w:t>
      </w:r>
    </w:p>
    <w:p>
      <w:pPr>
        <w:numPr>
          <w:ilvl w:val="0"/>
          <w:numId w:val="1030"/>
        </w:numPr>
        <w:pStyle w:val="Compact"/>
      </w:pPr>
      <w:r>
        <w:rPr>
          <w:bCs/>
          <w:b/>
        </w:rPr>
        <w:t xml:space="preserve">Lieu de conservation</w:t>
      </w:r>
      <w:r>
        <w:t xml:space="preserve">, pour une partie des fiches : Musei Vaticani, Lapidario Cristiano (41) et Galleria Lapidaria (25) ; « Basilica ss. Nerei et Achillei in coem. Domitillae » (24) ; Musei Capitolini (10) ; « Museo Archeologico Nazionale » (10 ; libellé EDB reproduit tel quel) ; Collegio Teutonico (6) ; Ostia Antica, Lapidario (n° 336)…</w:t>
      </w:r>
    </w:p>
    <w:p>
      <w:pPr>
        <w:numPr>
          <w:ilvl w:val="0"/>
          <w:numId w:val="1030"/>
        </w:numPr>
        <w:pStyle w:val="Compact"/>
      </w:pPr>
      <w:r>
        <w:rPr>
          <w:bCs/>
          <w:b/>
        </w:rPr>
        <w:t xml:space="preserve">Signes figurés</w:t>
      </w:r>
      <w:r>
        <w:t xml:space="preserve"> </w:t>
      </w:r>
      <w:r>
        <w:t xml:space="preserve">(chrisme, croix, oiseaux, palmes…), absents de l’EDCS (voir les dossiers, § E).</w:t>
      </w:r>
    </w:p>
    <w:p>
      <w:pPr>
        <w:numPr>
          <w:ilvl w:val="0"/>
          <w:numId w:val="1030"/>
        </w:numPr>
        <w:pStyle w:val="Compact"/>
      </w:pPr>
      <w:r>
        <w:rPr>
          <w:bCs/>
          <w:b/>
        </w:rPr>
        <w:t xml:space="preserve">Lignes et parties absentes du texte EDCS de la v2.0</w:t>
      </w:r>
      <w:r>
        <w:t xml:space="preserve">, dont des formules consulaires (dossiers, § D).</w:t>
      </w:r>
    </w:p>
    <w:p>
      <w:pPr>
        <w:numPr>
          <w:ilvl w:val="0"/>
          <w:numId w:val="1030"/>
        </w:numPr>
        <w:pStyle w:val="Compact"/>
      </w:pPr>
      <w:r>
        <w:rPr>
          <w:bCs/>
          <w:b/>
        </w:rPr>
        <w:t xml:space="preserve">Restitutions différentes</w:t>
      </w:r>
      <w:r>
        <w:t xml:space="preserve"> </w:t>
      </w:r>
      <w:r>
        <w:t xml:space="preserve">de celles de l’EDCS. Exemple : le n° 73,</w:t>
      </w:r>
      <w:r>
        <w:t xml:space="preserve"> </w:t>
      </w:r>
      <w:r>
        <w:rPr>
          <w:iCs/>
          <w:i/>
        </w:rPr>
        <w:t xml:space="preserve">carmen</w:t>
      </w:r>
      <w:r>
        <w:t xml:space="preserve"> </w:t>
      </w:r>
      <w:r>
        <w:t xml:space="preserve">d’Eleuteria (363), où l’EDB restitue</w:t>
      </w:r>
      <w:r>
        <w:t xml:space="preserve"> </w:t>
      </w:r>
      <w:r>
        <w:rPr>
          <w:rStyle w:val="VerbatimChar"/>
        </w:rPr>
        <w:t xml:space="preserve">[corpore namque tu]us spiritus … [est sociatu]s sanctis</w:t>
      </w:r>
      <w:r>
        <w:t xml:space="preserve"> </w:t>
      </w:r>
      <w:r>
        <w:t xml:space="preserve">là où l’EDCS donne</w:t>
      </w:r>
      <w:r>
        <w:t xml:space="preserve"> </w:t>
      </w:r>
      <w:r>
        <w:rPr>
          <w:rStyle w:val="VerbatimChar"/>
        </w:rPr>
        <w:t xml:space="preserve">[at tuus in caelo] spiritus … [vivit cum] sanctis</w:t>
      </w:r>
      <w:r>
        <w:t xml:space="preserve">. Ces deux restitutions sont</w:t>
      </w:r>
      <w:r>
        <w:t xml:space="preserve"> </w:t>
      </w:r>
      <w:r>
        <w:rPr>
          <w:bCs/>
          <w:b/>
        </w:rPr>
        <w:t xml:space="preserve">conjecturales</w:t>
      </w:r>
      <w:r>
        <w:t xml:space="preserve"> </w:t>
      </w:r>
      <w:r>
        <w:t xml:space="preserve">et produisent des lectures eschatologiques différentes : aucune ne doit être traduite comme acquise.</w:t>
      </w:r>
    </w:p>
    <w:bookmarkEnd w:id="62"/>
    <w:bookmarkStart w:id="63" w:name="pour-terminer-la-collation"/>
    <w:p>
      <w:pPr>
        <w:pStyle w:val="Heading2"/>
      </w:pPr>
      <w:r>
        <w:t xml:space="preserve">Pour terminer la collation</w:t>
      </w:r>
    </w:p>
    <w:p>
      <w:pPr>
        <w:numPr>
          <w:ilvl w:val="0"/>
          <w:numId w:val="1031"/>
        </w:numPr>
        <w:pStyle w:val="Compact"/>
      </w:pPr>
      <w:r>
        <w:rPr>
          <w:bCs/>
          <w:b/>
        </w:rPr>
        <w:t xml:space="preserve">Voie la plus sûre.</w:t>
      </w:r>
      <w:r>
        <w:t xml:space="preserve"> </w:t>
      </w:r>
      <w:r>
        <w:t xml:space="preserve">Télécharger hors de cet environnement le dépôt EpiDoc complet de l’EDB (Zenodo, DOI 10.5281/zenodo.3575485, CC BY 4.0, 73,8 Mo), puis apparier les 478 notices en local avec les scripts de</w:t>
      </w:r>
      <w:r>
        <w:t xml:space="preserve"> </w:t>
      </w:r>
      <w:r>
        <w:rPr>
          <w:rStyle w:val="VerbatimChar"/>
        </w:rPr>
        <w:t xml:space="preserve">05_scripts/</w:t>
      </w:r>
      <w:r>
        <w:t xml:space="preserve">, adaptés à l’EpiDoc.</w:t>
      </w:r>
    </w:p>
    <w:p>
      <w:pPr>
        <w:numPr>
          <w:ilvl w:val="0"/>
          <w:numId w:val="1031"/>
        </w:numPr>
        <w:pStyle w:val="Compact"/>
      </w:pPr>
      <w:r>
        <w:rPr>
          <w:bCs/>
          <w:b/>
        </w:rPr>
        <w:t xml:space="preserve">Sinon.</w:t>
      </w:r>
      <w:r>
        <w:t xml:space="preserve"> </w:t>
      </w:r>
      <w:r>
        <w:t xml:space="preserve">Les listes ont été entièrement parcourues pour les numéros ICUR du corpus. Lot 5 : les fiches détaillées des 38 divergences fortes ont été ouvertes (dossiers, § H ;</w:t>
      </w:r>
      <w:r>
        <w:t xml:space="preserve"> </w:t>
      </w:r>
      <w:r>
        <w:rPr>
          <w:rStyle w:val="VerbatimChar"/>
        </w:rPr>
        <w:t xml:space="preserve">edb/divergences_fortes_fiches.csv</w:t>
      </w:r>
      <w:r>
        <w:t xml:space="preserve">). Restent à ouvrir les fiches des 137 notices « à examiner » dont le texte de liste est tronqué (« More »).</w:t>
      </w:r>
    </w:p>
    <w:p>
      <w:pPr>
        <w:numPr>
          <w:ilvl w:val="0"/>
          <w:numId w:val="1031"/>
        </w:numPr>
        <w:pStyle w:val="Compact"/>
      </w:pPr>
      <w:r>
        <w:rPr>
          <w:bCs/>
          <w:b/>
        </w:rPr>
        <w:t xml:space="preserve">Dans tous les cas.</w:t>
      </w:r>
      <w:r>
        <w:t xml:space="preserve"> </w:t>
      </w:r>
      <w:r>
        <w:t xml:space="preserve">Les écarts substantiels doivent être tranchés sur l’</w:t>
      </w:r>
      <w:r>
        <w:rPr>
          <w:bCs/>
          <w:b/>
        </w:rPr>
        <w:t xml:space="preserve">ICVR imprimée</w:t>
      </w:r>
      <w:r>
        <w:t xml:space="preserve"> </w:t>
      </w:r>
      <w:r>
        <w:t xml:space="preserve">(photographies et commentaires) : c’est la seule édition critique de référence pour ces textes.</w:t>
      </w:r>
    </w:p>
    <w:bookmarkEnd w:id="63"/>
    <w:bookmarkEnd w:id="64"/>
    <w:bookmarkStart w:id="67" w:name="Xf0b97d1684f2d91f3bcf882282ddf773023d200"/>
    <w:p>
      <w:pPr>
        <w:pStyle w:val="Heading1"/>
      </w:pPr>
      <w:r>
        <w:t xml:space="preserve">Statistiques recalculées sur les lectures stabilisées (lots 4-5)</w:t>
      </w:r>
    </w:p>
    <w:p>
      <w:pPr>
        <w:pStyle w:val="FirstParagraph"/>
      </w:pPr>
      <w:r>
        <w:t xml:space="preserve">Script :</w:t>
      </w:r>
      <w:r>
        <w:t xml:space="preserve"> </w:t>
      </w:r>
      <w:r>
        <w:rPr>
          <w:rStyle w:val="VerbatimChar"/>
        </w:rPr>
        <w:t xml:space="preserve">05_scripts/stats_stabilisees.py</w:t>
      </w:r>
      <w:r>
        <w:t xml:space="preserve"> </w:t>
      </w:r>
      <w:r>
        <w:t xml:space="preserve">; données :</w:t>
      </w:r>
      <w:r>
        <w:t xml:space="preserve"> </w:t>
      </w:r>
      <w:r>
        <w:rPr>
          <w:rStyle w:val="VerbatimChar"/>
        </w:rPr>
        <w:t xml:space="preserve">collation_edcs_edb.csv</w:t>
      </w:r>
      <w:r>
        <w:t xml:space="preserve"> </w:t>
      </w:r>
      <w:r>
        <w:t xml:space="preserve">et base v2.0.</w:t>
      </w:r>
    </w:p>
    <w:p>
      <w:pPr>
        <w:pStyle w:val="BodyText"/>
      </w:pPr>
      <w:r>
        <w:rPr>
          <w:bCs/>
          <w:b/>
        </w:rPr>
        <w:t xml:space="preserve">Définition.</w:t>
      </w:r>
      <w:r>
        <w:t xml:space="preserve"> </w:t>
      </w:r>
      <w:r>
        <w:t xml:space="preserve">Une lecture est dite</w:t>
      </w:r>
      <w:r>
        <w:t xml:space="preserve"> </w:t>
      </w:r>
      <w:r>
        <w:rPr>
          <w:iCs/>
          <w:i/>
        </w:rPr>
        <w:t xml:space="preserve">stabilisée</w:t>
      </w:r>
      <w:r>
        <w:t xml:space="preserve"> </w:t>
      </w:r>
      <w:r>
        <w:t xml:space="preserve">quand le texte EDCS de la v2.0 et le texte de l’EDB concordent, aux conventions de notation près (statut « concordant »). Elle n’est pas pour autant</w:t>
      </w:r>
      <w:r>
        <w:t xml:space="preserve"> </w:t>
      </w:r>
      <w:r>
        <w:rPr>
          <w:bCs/>
          <w:b/>
        </w:rPr>
        <w:t xml:space="preserve">validée</w:t>
      </w:r>
      <w:r>
        <w:t xml:space="preserve"> </w:t>
      </w:r>
      <w:r>
        <w:t xml:space="preserve">: les deux bases dépendent de l’ICVR, et aucune n’a été contrôlée ici sur l’édition imprimée ni sur la pierre.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Mesure</w:t>
            </w:r>
          </w:p>
        </w:tc>
        <w:tc>
          <w:tcPr/>
          <w:p>
            <w:pPr>
              <w:pStyle w:val="Compact"/>
              <w:jc w:val="left"/>
            </w:pPr>
            <w:r>
              <w:t xml:space="preserve">Valeur</w:t>
            </w:r>
          </w:p>
        </w:tc>
        <w:tc>
          <w:tcPr/>
          <w:p>
            <w:pPr>
              <w:pStyle w:val="Compact"/>
              <w:jc w:val="left"/>
            </w:pPr>
            <w:r>
              <w:t xml:space="preserve">Dénominateur</w:t>
            </w:r>
          </w:p>
        </w:tc>
      </w:tr>
      <w:tr>
        <w:tc>
          <w:tcPr/>
          <w:p>
            <w:pPr>
              <w:pStyle w:val="Compact"/>
              <w:jc w:val="left"/>
            </w:pPr>
            <w:r>
              <w:t xml:space="preserve">Notices</w:t>
            </w:r>
          </w:p>
        </w:tc>
        <w:tc>
          <w:tcPr/>
          <w:p>
            <w:pPr>
              <w:pStyle w:val="Compact"/>
              <w:jc w:val="left"/>
            </w:pPr>
            <w:r>
              <w:t xml:space="preserve">478</w:t>
            </w:r>
          </w:p>
        </w:tc>
        <w:tc>
          <w:tcPr/>
          <w:p>
            <w:pPr>
              <w:pStyle w:val="Compact"/>
              <w:jc w:val="left"/>
            </w:pPr>
            <w:r>
              <w:t xml:space="preserve">—</w:t>
            </w:r>
          </w:p>
        </w:tc>
      </w:tr>
      <w:tr>
        <w:tc>
          <w:tcPr/>
          <w:p>
            <w:pPr>
              <w:pStyle w:val="Compact"/>
              <w:jc w:val="left"/>
            </w:pPr>
            <w:r>
              <w:t xml:space="preserve">Textes distincts après fusion des doublons 106→120, 282→288, 329→336 et des fragments 393+394</w:t>
            </w:r>
          </w:p>
        </w:tc>
        <w:tc>
          <w:tcPr/>
          <w:p>
            <w:pPr>
              <w:pStyle w:val="Compact"/>
              <w:jc w:val="left"/>
            </w:pPr>
            <w:r>
              <w:rPr>
                <w:bCs/>
                <w:b/>
              </w:rPr>
              <w:t xml:space="preserve">474</w:t>
            </w:r>
            <w:r>
              <w:t xml:space="preserve"> </w:t>
            </w:r>
            <w:r>
              <w:t xml:space="preserve">(473 après exclusion du n° 98, daté de 461/482)</w:t>
            </w:r>
          </w:p>
        </w:tc>
        <w:tc>
          <w:tcPr/>
          <w:p>
            <w:pPr>
              <w:pStyle w:val="Compact"/>
              <w:jc w:val="left"/>
            </w:pPr>
            <w:r>
              <w:t xml:space="preserve">478</w:t>
            </w:r>
          </w:p>
        </w:tc>
      </w:tr>
      <w:tr>
        <w:tc>
          <w:tcPr/>
          <w:p>
            <w:pPr>
              <w:pStyle w:val="Compact"/>
              <w:jc w:val="left"/>
            </w:pPr>
            <w:r>
              <w:t xml:space="preserve">Lectures stabilisées</w:t>
            </w:r>
          </w:p>
        </w:tc>
        <w:tc>
          <w:tcPr/>
          <w:p>
            <w:pPr>
              <w:pStyle w:val="Compact"/>
              <w:jc w:val="left"/>
            </w:pPr>
            <w:r>
              <w:rPr>
                <w:bCs/>
                <w:b/>
              </w:rPr>
              <w:t xml:space="preserve">279</w:t>
            </w:r>
          </w:p>
        </w:tc>
        <w:tc>
          <w:tcPr/>
          <w:p>
            <w:pPr>
              <w:pStyle w:val="Compact"/>
              <w:jc w:val="left"/>
            </w:pPr>
            <w:r>
              <w:t xml:space="preserve">474</w:t>
            </w:r>
          </w:p>
        </w:tc>
      </w:tr>
      <w:tr>
        <w:tc>
          <w:tcPr/>
          <w:p>
            <w:pPr>
              <w:pStyle w:val="Compact"/>
              <w:jc w:val="left"/>
            </w:pPr>
            <w:r>
              <w:t xml:space="preserve">Répartition par décennie (393/394 comptés une fois)</w:t>
            </w:r>
          </w:p>
        </w:tc>
        <w:tc>
          <w:tcPr/>
          <w:p>
            <w:pPr>
              <w:pStyle w:val="Compact"/>
              <w:jc w:val="left"/>
            </w:pPr>
            <w:r>
              <w:t xml:space="preserve">340s : 16 ; 350s : 10 ; 360s : 46 ; 370s : 49 ; 380s : 72 ; 390s : 64 ; 400–403 : 22</w:t>
            </w:r>
          </w:p>
        </w:tc>
        <w:tc>
          <w:tcPr/>
          <w:p>
            <w:pPr>
              <w:pStyle w:val="Compact"/>
              <w:jc w:val="left"/>
            </w:pPr>
            <w:r>
              <w:t xml:space="preserve">279</w:t>
            </w:r>
          </w:p>
        </w:tc>
      </w:tr>
      <w:tr>
        <w:tc>
          <w:tcPr/>
          <w:p>
            <w:pPr>
              <w:pStyle w:val="Compact"/>
              <w:jc w:val="left"/>
            </w:pPr>
            <w:r>
              <w:rPr>
                <w:iCs/>
                <w:i/>
              </w:rPr>
              <w:t xml:space="preserve">in pace</w:t>
            </w:r>
            <w:r>
              <w:t xml:space="preserve"> </w:t>
            </w:r>
            <w:r>
              <w:t xml:space="preserve">présent dans le texte EDB, hors cas où le mot est entièrement entre crochets (mesure approximative)</w:t>
            </w:r>
          </w:p>
        </w:tc>
        <w:tc>
          <w:tcPr/>
          <w:p>
            <w:pPr>
              <w:pStyle w:val="Compact"/>
              <w:jc w:val="left"/>
            </w:pPr>
            <w:r>
              <w:t xml:space="preserve">94</w:t>
            </w:r>
          </w:p>
        </w:tc>
        <w:tc>
          <w:tcPr/>
          <w:p>
            <w:pPr>
              <w:pStyle w:val="Compact"/>
              <w:jc w:val="left"/>
            </w:pPr>
            <w:r>
              <w:t xml:space="preserve">279</w:t>
            </w:r>
          </w:p>
        </w:tc>
      </w:tr>
      <w:tr>
        <w:tc>
          <w:tcPr/>
          <w:p>
            <w:pPr>
              <w:pStyle w:val="Compact"/>
              <w:jc w:val="left"/>
            </w:pPr>
            <w:r>
              <w:t xml:space="preserve">Chrisme ou croix selon l’EDB</w:t>
            </w:r>
          </w:p>
        </w:tc>
        <w:tc>
          <w:tcPr/>
          <w:p>
            <w:pPr>
              <w:pStyle w:val="Compact"/>
              <w:jc w:val="left"/>
            </w:pPr>
            <w:r>
              <w:t xml:space="preserve">27</w:t>
            </w:r>
          </w:p>
        </w:tc>
        <w:tc>
          <w:tcPr/>
          <w:p>
            <w:pPr>
              <w:pStyle w:val="Compact"/>
              <w:jc w:val="left"/>
            </w:pPr>
            <w:r>
              <w:t xml:space="preserve">279</w:t>
            </w:r>
          </w:p>
        </w:tc>
      </w:tr>
    </w:tbl>
    <w:bookmarkStart w:id="65" w:name="Xb751a1848503207bafee57f61cdde6f3653c8de"/>
    <w:p>
      <w:pPr>
        <w:pStyle w:val="Heading2"/>
      </w:pPr>
      <w:r>
        <w:t xml:space="preserve">Fondement des années « directes » (lot 5, dossiers § 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Niveau</w:t>
            </w:r>
          </w:p>
        </w:tc>
        <w:tc>
          <w:tcPr/>
          <w:p>
            <w:pPr>
              <w:pStyle w:val="Compact"/>
              <w:jc w:val="left"/>
            </w:pPr>
            <w:r>
              <w:t xml:space="preserve">Textes</w:t>
            </w:r>
          </w:p>
        </w:tc>
        <w:tc>
          <w:tcPr/>
          <w:p>
            <w:pPr>
              <w:pStyle w:val="Compact"/>
              <w:jc w:val="left"/>
            </w:pPr>
            <w:r>
              <w:t xml:space="preserve">Dénominateur</w:t>
            </w:r>
          </w:p>
        </w:tc>
      </w:tr>
      <w:tr>
        <w:tc>
          <w:tcPr/>
          <w:p>
            <w:pPr>
              <w:pStyle w:val="Compact"/>
              <w:jc w:val="left"/>
            </w:pPr>
            <w:r>
              <w:t xml:space="preserve">A — au moins un nom consulaire lu</w:t>
            </w:r>
          </w:p>
        </w:tc>
        <w:tc>
          <w:tcPr/>
          <w:p>
            <w:pPr>
              <w:pStyle w:val="Compact"/>
              <w:jc w:val="left"/>
            </w:pPr>
            <w:r>
              <w:t xml:space="preserve">338 (74,0 %)</w:t>
            </w:r>
          </w:p>
        </w:tc>
        <w:tc>
          <w:tcPr/>
          <w:p>
            <w:pPr>
              <w:pStyle w:val="Compact"/>
              <w:jc w:val="left"/>
            </w:pPr>
            <w:r>
              <w:t xml:space="preserve">457 textes à datation directe (corpus de 473)</w:t>
            </w:r>
          </w:p>
        </w:tc>
      </w:tr>
      <w:tr>
        <w:tc>
          <w:tcPr/>
          <w:p>
            <w:pPr>
              <w:pStyle w:val="Compact"/>
              <w:jc w:val="left"/>
            </w:pPr>
            <w:r>
              <w:t xml:space="preserve">B — lecture partielle (≥ 3 lettres gravées)</w:t>
            </w:r>
          </w:p>
        </w:tc>
        <w:tc>
          <w:tcPr/>
          <w:p>
            <w:pPr>
              <w:pStyle w:val="Compact"/>
              <w:jc w:val="left"/>
            </w:pPr>
            <w:r>
              <w:t xml:space="preserve">97 (21,2 %)</w:t>
            </w:r>
          </w:p>
        </w:tc>
        <w:tc>
          <w:tcPr/>
          <w:p>
            <w:pPr>
              <w:pStyle w:val="Compact"/>
              <w:jc w:val="left"/>
            </w:pPr>
            <w:r>
              <w:t xml:space="preserve">457</w:t>
            </w:r>
          </w:p>
        </w:tc>
      </w:tr>
      <w:tr>
        <w:tc>
          <w:tcPr/>
          <w:p>
            <w:pPr>
              <w:pStyle w:val="Compact"/>
              <w:jc w:val="left"/>
            </w:pPr>
            <w:r>
              <w:t xml:space="preserve">C — initiales seules</w:t>
            </w:r>
          </w:p>
        </w:tc>
        <w:tc>
          <w:tcPr/>
          <w:p>
            <w:pPr>
              <w:pStyle w:val="Compact"/>
              <w:jc w:val="left"/>
            </w:pPr>
            <w:r>
              <w:t xml:space="preserve">2 (0,4 %)</w:t>
            </w:r>
          </w:p>
        </w:tc>
        <w:tc>
          <w:tcPr/>
          <w:p>
            <w:pPr>
              <w:pStyle w:val="Compact"/>
              <w:jc w:val="left"/>
            </w:pPr>
            <w:r>
              <w:t xml:space="preserve">457</w:t>
            </w:r>
          </w:p>
        </w:tc>
      </w:tr>
      <w:tr>
        <w:tc>
          <w:tcPr/>
          <w:p>
            <w:pPr>
              <w:pStyle w:val="Compact"/>
              <w:jc w:val="left"/>
            </w:pPr>
            <w:r>
              <w:t xml:space="preserve">R — consulat restitué (≤ 2 lettres gravées par nom)</w:t>
            </w:r>
          </w:p>
        </w:tc>
        <w:tc>
          <w:tcPr/>
          <w:p>
            <w:pPr>
              <w:pStyle w:val="Compact"/>
              <w:jc w:val="left"/>
            </w:pPr>
            <w:r>
              <w:t xml:space="preserve">20 (4,4 %)</w:t>
            </w:r>
          </w:p>
        </w:tc>
        <w:tc>
          <w:tcPr/>
          <w:p>
            <w:pPr>
              <w:pStyle w:val="Compact"/>
              <w:jc w:val="left"/>
            </w:pPr>
            <w:r>
              <w:t xml:space="preserve">457</w:t>
            </w:r>
          </w:p>
        </w:tc>
      </w:tr>
    </w:tbl>
    <w:p>
      <w:pPr>
        <w:pStyle w:val="BodyText"/>
      </w:pPr>
      <w:r>
        <w:t xml:space="preserve">Un contrôle de robustesse doit recalculer les distributions chronologiques</w:t>
      </w:r>
      <w:r>
        <w:t xml:space="preserve"> </w:t>
      </w:r>
      <w:r>
        <w:rPr>
          <w:bCs/>
          <w:b/>
        </w:rPr>
        <w:t xml:space="preserve">sans les 20 textes de niveau R</w:t>
      </w:r>
      <w:r>
        <w:t xml:space="preserve">.</w:t>
      </w:r>
    </w:p>
    <w:bookmarkEnd w:id="65"/>
    <w:bookmarkStart w:id="66" w:name="limites"/>
    <w:p>
      <w:pPr>
        <w:pStyle w:val="Heading2"/>
      </w:pPr>
      <w:r>
        <w:t xml:space="preserve">Limites</w:t>
      </w:r>
    </w:p>
    <w:p>
      <w:pPr>
        <w:numPr>
          <w:ilvl w:val="0"/>
          <w:numId w:val="1032"/>
        </w:numPr>
        <w:pStyle w:val="Compact"/>
      </w:pPr>
      <w:r>
        <w:t xml:space="preserve">Les 195 autres textes ne sont pas « faux ». Ils présentent un écart à examiner, n’ont pas encore été appariés, ou ne portent pas de numéro ICUR. Les en exclure introduit un</w:t>
      </w:r>
      <w:r>
        <w:t xml:space="preserve"> </w:t>
      </w:r>
      <w:r>
        <w:rPr>
          <w:bCs/>
          <w:b/>
        </w:rPr>
        <w:t xml:space="preserve">biais de sélection</w:t>
      </w:r>
      <w:r>
        <w:t xml:space="preserve"> </w:t>
      </w:r>
      <w:r>
        <w:t xml:space="preserve">: les textes longs et fragmentaires divergent plus souvent. Ces chiffres servent de</w:t>
      </w:r>
      <w:r>
        <w:t xml:space="preserve"> </w:t>
      </w:r>
      <w:r>
        <w:rPr>
          <w:bCs/>
          <w:b/>
        </w:rPr>
        <w:t xml:space="preserve">contrôle de robustesse</w:t>
      </w:r>
      <w:r>
        <w:t xml:space="preserve">, non de résultats définitifs.</w:t>
      </w:r>
    </w:p>
    <w:p>
      <w:pPr>
        <w:numPr>
          <w:ilvl w:val="0"/>
          <w:numId w:val="1032"/>
        </w:numPr>
        <w:pStyle w:val="Compact"/>
      </w:pPr>
      <w:r>
        <w:t xml:space="preserve">Les statistiques de la v2.0 sur l’ensemble du corpus restent les seules exhaustives. Elles doivent être republiées accompagnées de ce contrôle, et recalculées après arbitrage des écarts.</w:t>
      </w:r>
    </w:p>
    <w:bookmarkEnd w:id="66"/>
    <w:bookmarkEnd w:id="67"/>
    <w:bookmarkStart w:id="71" w:name="Xa221a151d235e45b63b99089c4fe73c6915f310"/>
    <w:p>
      <w:pPr>
        <w:pStyle w:val="Heading1"/>
      </w:pPr>
      <w:r>
        <w:t xml:space="preserve">Audit du document « État critique de la recherche sur les épitaphes chrétiennes de Rome (340-403) et confrontation au corpus de 478 inscriptions »</w:t>
      </w:r>
    </w:p>
    <w:p>
      <w:pPr>
        <w:numPr>
          <w:ilvl w:val="0"/>
          <w:numId w:val="1033"/>
        </w:numPr>
        <w:pStyle w:val="Compact"/>
      </w:pPr>
      <w:r>
        <w:rPr>
          <w:bCs/>
          <w:b/>
        </w:rPr>
        <w:t xml:space="preserve">Source</w:t>
      </w:r>
      <w:r>
        <w:t xml:space="preserve"> </w:t>
      </w:r>
      <w:r>
        <w:t xml:space="preserve">: Google Doc</w:t>
      </w:r>
      <w:r>
        <w:t xml:space="preserve"> </w:t>
      </w:r>
      <w:r>
        <w:rPr>
          <w:rStyle w:val="VerbatimChar"/>
        </w:rPr>
        <w:t xml:space="preserve">1EK6eph6evZrC_lOwfYa3DuYj4_uwsWURaGsFirfglUA</w:t>
      </w:r>
      <w:r>
        <w:t xml:space="preserve">, créé le 12 oct. 2026, lu intégralement le 14 oct. 2026.</w:t>
      </w:r>
    </w:p>
    <w:p>
      <w:pPr>
        <w:numPr>
          <w:ilvl w:val="0"/>
          <w:numId w:val="1033"/>
        </w:numPr>
        <w:pStyle w:val="Compact"/>
      </w:pPr>
      <w:r>
        <w:rPr>
          <w:bCs/>
          <w:b/>
        </w:rPr>
        <w:t xml:space="preserve">Méthode</w:t>
      </w:r>
      <w:r>
        <w:t xml:space="preserve"> </w:t>
      </w:r>
      <w:r>
        <w:t xml:space="preserve">: chaque chiffre et chaque citation du document ont été confrontés à la base PRISME v2.0 (</w:t>
      </w:r>
      <w:r>
        <w:rPr>
          <w:rStyle w:val="VerbatimChar"/>
        </w:rPr>
        <w:t xml:space="preserve">01_donnees/base_v2_csv/</w:t>
      </w:r>
      <w:r>
        <w:t xml:space="preserve">, feuilles</w:t>
      </w:r>
      <w:r>
        <w:t xml:space="preserve"> </w:t>
      </w:r>
      <w:r>
        <w:rPr>
          <w:iCs/>
          <w:i/>
        </w:rPr>
        <w:t xml:space="preserve">Notices</w:t>
      </w:r>
      <w:r>
        <w:t xml:space="preserve"> </w:t>
      </w:r>
      <w:r>
        <w:t xml:space="preserve">et</w:t>
      </w:r>
      <w:r>
        <w:t xml:space="preserve"> </w:t>
      </w:r>
      <w:r>
        <w:rPr>
          <w:iCs/>
          <w:i/>
        </w:rPr>
        <w:t xml:space="preserve">Textes</w:t>
      </w:r>
      <w:r>
        <w:t xml:space="preserve">, 478 notices).</w:t>
      </w:r>
    </w:p>
    <w:bookmarkStart w:id="68" w:name="verdict"/>
    <w:p>
      <w:pPr>
        <w:pStyle w:val="Heading2"/>
      </w:pPr>
      <w:r>
        <w:t xml:space="preserve">Verdict</w:t>
      </w:r>
    </w:p>
    <w:p>
      <w:pPr>
        <w:pStyle w:val="FirstParagraph"/>
      </w:pPr>
      <w:r>
        <w:rPr>
          <w:bCs/>
          <w:b/>
        </w:rPr>
        <w:t xml:space="preserve">Ce document ne doit pas être utilisé, ni cité, ni repris dans le manuscrit.</w:t>
      </w:r>
      <w:r>
        <w:t xml:space="preserve"> </w:t>
      </w:r>
      <w:r>
        <w:t xml:space="preserve">Ses données chiffrées sur « le corpus de 478 inscriptions » sont incompatibles avec la base du corpus. Les formules latines qu’il présente comme tirées du corpus n’y figurent pas. Plusieurs références (paginations, attributions) ne sont pas vérifiables. Tout porte à croire qu’il s’agit d’un texte généré, sans accès à la base.</w:t>
      </w:r>
    </w:p>
    <w:bookmarkEnd w:id="68"/>
    <w:bookmarkStart w:id="69" w:name="contrôles-effectués"/>
    <w:p>
      <w:pPr>
        <w:pStyle w:val="Heading2"/>
      </w:pPr>
      <w:r>
        <w:t xml:space="preserve">Contrôles effectués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Affirmation du document</w:t>
            </w:r>
          </w:p>
        </w:tc>
        <w:tc>
          <w:tcPr/>
          <w:p>
            <w:pPr>
              <w:pStyle w:val="Compact"/>
              <w:jc w:val="left"/>
            </w:pPr>
            <w:r>
              <w:t xml:space="preserve">Valeur dans la base v2.0</w:t>
            </w:r>
          </w:p>
        </w:tc>
        <w:tc>
          <w:tcPr/>
          <w:p>
            <w:pPr>
              <w:pStyle w:val="Compact"/>
              <w:jc w:val="left"/>
            </w:pPr>
            <w:r>
              <w:t xml:space="preserve">Contrôle</w:t>
            </w:r>
          </w:p>
        </w:tc>
      </w:tr>
      <w:tr>
        <w:tc>
          <w:tcPr/>
          <w:p>
            <w:pPr>
              <w:pStyle w:val="Compact"/>
              <w:jc w:val="left"/>
            </w:pPr>
            <w:r>
              <w:t xml:space="preserve">« 86 pièces, soit 18,0 % » datées par une formule consulaire explicite ; « 392 inscriptions » sans consuls</w:t>
            </w:r>
          </w:p>
        </w:tc>
        <w:tc>
          <w:tcPr/>
          <w:p>
            <w:pPr>
              <w:pStyle w:val="Compact"/>
              <w:jc w:val="left"/>
            </w:pPr>
            <w:r>
              <w:t xml:space="preserve">462 notices datées directement par un consulat lu (</w:t>
            </w:r>
            <w:r>
              <w:rPr>
                <w:rStyle w:val="VerbatimChar"/>
              </w:rPr>
              <w:t xml:space="preserve">datation_mode</w:t>
            </w:r>
            <w:r>
              <w:t xml:space="preserve"> </w:t>
            </w:r>
            <w:r>
              <w:t xml:space="preserve">= « directe ») ; 16 datées par la base seule</w:t>
            </w:r>
          </w:p>
        </w:tc>
        <w:tc>
          <w:tcPr/>
          <w:p>
            <w:pPr>
              <w:pStyle w:val="Compact"/>
              <w:jc w:val="left"/>
            </w:pPr>
            <w:r>
              <w:rPr>
                <w:bCs/>
                <w:b/>
              </w:rPr>
              <w:t xml:space="preserve">Faux</w:t>
            </w:r>
          </w:p>
        </w:tc>
      </w:tr>
      <w:tr>
        <w:tc>
          <w:tcPr/>
          <w:p>
            <w:pPr>
              <w:pStyle w:val="Compact"/>
              <w:jc w:val="left"/>
            </w:pPr>
            <w:r>
              <w:rPr>
                <w:iCs/>
                <w:i/>
              </w:rPr>
              <w:t xml:space="preserve">In pace</w:t>
            </w:r>
            <w:r>
              <w:t xml:space="preserve"> </w:t>
            </w:r>
            <w:r>
              <w:t xml:space="preserve">dans « 82,4 % des inscriptions du corpus (394 pièces) »</w:t>
            </w:r>
          </w:p>
        </w:tc>
        <w:tc>
          <w:tcPr/>
          <w:p>
            <w:pPr>
              <w:pStyle w:val="Compact"/>
              <w:jc w:val="left"/>
            </w:pPr>
            <w:r>
              <w:t xml:space="preserve">144 (codage v1.0) ; 197 (texte avec restitutions) ; 151 (sans restitutions) ; 135 entièrement conservées (résumé v2.0)</w:t>
            </w:r>
          </w:p>
        </w:tc>
        <w:tc>
          <w:tcPr/>
          <w:p>
            <w:pPr>
              <w:pStyle w:val="Compact"/>
              <w:jc w:val="left"/>
            </w:pPr>
            <w:r>
              <w:rPr>
                <w:bCs/>
                <w:b/>
              </w:rPr>
              <w:t xml:space="preserve">Faux</w:t>
            </w:r>
          </w:p>
        </w:tc>
      </w:tr>
      <w:tr>
        <w:tc>
          <w:tcPr/>
          <w:p>
            <w:pPr>
              <w:pStyle w:val="Compact"/>
              <w:jc w:val="left"/>
            </w:pPr>
            <w:r>
              <w:t xml:space="preserve">« 28 pièces, soit 5,8 % » d’épitaphes grecques</w:t>
            </w:r>
          </w:p>
        </w:tc>
        <w:tc>
          <w:tcPr/>
          <w:p>
            <w:pPr>
              <w:pStyle w:val="Compact"/>
              <w:jc w:val="left"/>
            </w:pPr>
            <w:r>
              <w:t xml:space="preserve">7 notices marquées</w:t>
            </w:r>
            <w:r>
              <w:t xml:space="preserve"> </w:t>
            </w:r>
            <w:r>
              <w:rPr>
                <w:rStyle w:val="VerbatimChar"/>
              </w:rPr>
              <w:t xml:space="preserve">grec</w:t>
            </w:r>
          </w:p>
        </w:tc>
        <w:tc>
          <w:tcPr/>
          <w:p>
            <w:pPr>
              <w:pStyle w:val="Compact"/>
              <w:jc w:val="left"/>
            </w:pPr>
            <w:r>
              <w:rPr>
                <w:bCs/>
                <w:b/>
              </w:rPr>
              <w:t xml:space="preserve">Faux</w:t>
            </w:r>
          </w:p>
        </w:tc>
      </w:tr>
      <w:tr>
        <w:tc>
          <w:tcPr/>
          <w:p>
            <w:pPr>
              <w:pStyle w:val="Compact"/>
              <w:jc w:val="left"/>
            </w:pPr>
            <w:r>
              <w:t xml:space="preserve">« 32</w:t>
            </w:r>
            <w:r>
              <w:t xml:space="preserve"> </w:t>
            </w:r>
            <w:r>
              <w:rPr>
                <w:iCs/>
                <w:i/>
              </w:rPr>
              <w:t xml:space="preserve">carmina epigraphica</w:t>
            </w:r>
            <w:r>
              <w:t xml:space="preserve"> </w:t>
            </w:r>
            <w:r>
              <w:t xml:space="preserve">»</w:t>
            </w:r>
          </w:p>
        </w:tc>
        <w:tc>
          <w:tcPr/>
          <w:p>
            <w:pPr>
              <w:pStyle w:val="Compact"/>
              <w:jc w:val="left"/>
            </w:pPr>
            <w:r>
              <w:t xml:space="preserve">aucun comptage de ce type dans la base</w:t>
            </w:r>
          </w:p>
        </w:tc>
        <w:tc>
          <w:tcPr/>
          <w:p>
            <w:pPr>
              <w:pStyle w:val="Compact"/>
              <w:jc w:val="left"/>
            </w:pPr>
            <w:r>
              <w:rPr>
                <w:bCs/>
                <w:b/>
              </w:rPr>
              <w:t xml:space="preserve">Non vérifiable, non attesté</w:t>
            </w:r>
          </w:p>
        </w:tc>
      </w:tr>
      <w:tr>
        <w:tc>
          <w:tcPr/>
          <w:p>
            <w:pPr>
              <w:pStyle w:val="Compact"/>
              <w:jc w:val="left"/>
            </w:pPr>
            <w:r>
              <w:t xml:space="preserve">Répartition des dédicaces : conjugales 198 (41,4 %), filiations 151, collatéraux 54, non familiales 75 ; « famille nucléaire 73,0 % »</w:t>
            </w:r>
          </w:p>
        </w:tc>
        <w:tc>
          <w:tcPr/>
          <w:p>
            <w:pPr>
              <w:pStyle w:val="Compact"/>
              <w:jc w:val="left"/>
            </w:pPr>
            <w:r>
              <w:t xml:space="preserve">la base ne contient aucune variable de relation de dédicant</w:t>
            </w:r>
          </w:p>
        </w:tc>
        <w:tc>
          <w:tcPr/>
          <w:p>
            <w:pPr>
              <w:pStyle w:val="Compact"/>
              <w:jc w:val="left"/>
            </w:pPr>
            <w:r>
              <w:rPr>
                <w:bCs/>
                <w:b/>
              </w:rPr>
              <w:t xml:space="preserve">Non attesté (chiffres sans source)</w:t>
            </w:r>
          </w:p>
        </w:tc>
      </w:tr>
      <w:tr>
        <w:tc>
          <w:tcPr/>
          <w:p>
            <w:pPr>
              <w:pStyle w:val="Compact"/>
              <w:jc w:val="left"/>
            </w:pPr>
            <w:r>
              <w:t xml:space="preserve">« auto-épitaphes féminines (</w:t>
            </w:r>
            <w:r>
              <w:rPr>
                <w:iCs/>
                <w:i/>
              </w:rPr>
              <w:t xml:space="preserve">se viva fecit</w:t>
            </w:r>
            <w:r>
              <w:t xml:space="preserve">) : 8,5 % des mentions féminines »</w:t>
            </w:r>
          </w:p>
        </w:tc>
        <w:tc>
          <w:tcPr/>
          <w:p>
            <w:pPr>
              <w:pStyle w:val="Compact"/>
              <w:jc w:val="left"/>
            </w:pPr>
            <w:r>
              <w:t xml:space="preserve">aucune variable correspondante ;</w:t>
            </w:r>
            <w:r>
              <w:t xml:space="preserve"> </w:t>
            </w:r>
            <w:r>
              <w:rPr>
                <w:rStyle w:val="VerbatimChar"/>
              </w:rPr>
              <w:t xml:space="preserve">se viva</w:t>
            </w:r>
            <w:r>
              <w:t xml:space="preserve"> </w:t>
            </w:r>
            <w:r>
              <w:t xml:space="preserve">: 0 occurrence dans les textes du corpus</w:t>
            </w:r>
          </w:p>
        </w:tc>
        <w:tc>
          <w:tcPr/>
          <w:p>
            <w:pPr>
              <w:pStyle w:val="Compact"/>
              <w:jc w:val="left"/>
            </w:pPr>
            <w:r>
              <w:rPr>
                <w:bCs/>
                <w:b/>
              </w:rPr>
              <w:t xml:space="preserve">Non attesté</w:t>
            </w:r>
          </w:p>
        </w:tc>
      </w:tr>
      <w:tr>
        <w:tc>
          <w:tcPr/>
          <w:p>
            <w:pPr>
              <w:pStyle w:val="Compact"/>
              <w:jc w:val="left"/>
            </w:pPr>
            <w:r>
              <w:t xml:space="preserve">Formules «</w:t>
            </w:r>
            <w:r>
              <w:t xml:space="preserve"> </w:t>
            </w:r>
            <w:r>
              <w:rPr>
                <w:iCs/>
                <w:i/>
              </w:rPr>
              <w:t xml:space="preserve">IN DEO UNO</w:t>
            </w:r>
            <w:r>
              <w:t xml:space="preserve"> </w:t>
            </w:r>
            <w:r>
              <w:t xml:space="preserve">», «</w:t>
            </w:r>
            <w:r>
              <w:t xml:space="preserve"> </w:t>
            </w:r>
            <w:r>
              <w:rPr>
                <w:iCs/>
                <w:i/>
              </w:rPr>
              <w:t xml:space="preserve">IN CHRISTO DEO</w:t>
            </w:r>
            <w:r>
              <w:t xml:space="preserve"> </w:t>
            </w:r>
            <w:r>
              <w:t xml:space="preserve">», «</w:t>
            </w:r>
            <w:r>
              <w:t xml:space="preserve"> </w:t>
            </w:r>
            <w:r>
              <w:rPr>
                <w:iCs/>
                <w:i/>
              </w:rPr>
              <w:t xml:space="preserve">VIVAS IN DEO</w:t>
            </w:r>
            <w:r>
              <w:t xml:space="preserve"> </w:t>
            </w:r>
            <w:r>
              <w:t xml:space="preserve">», «</w:t>
            </w:r>
            <w:r>
              <w:t xml:space="preserve"> </w:t>
            </w:r>
            <w:r>
              <w:rPr>
                <w:iCs/>
                <w:i/>
              </w:rPr>
              <w:t xml:space="preserve">REFRIGERET TE DEUS</w:t>
            </w:r>
            <w:r>
              <w:t xml:space="preserve"> </w:t>
            </w:r>
            <w:r>
              <w:t xml:space="preserve">», «</w:t>
            </w:r>
            <w:r>
              <w:t xml:space="preserve"> </w:t>
            </w:r>
            <w:r>
              <w:rPr>
                <w:iCs/>
                <w:i/>
              </w:rPr>
              <w:t xml:space="preserve">PETE PRO NOBIS</w:t>
            </w:r>
            <w:r>
              <w:t xml:space="preserve"> </w:t>
            </w:r>
            <w:r>
              <w:t xml:space="preserve">» dans le corpus</w:t>
            </w:r>
          </w:p>
        </w:tc>
        <w:tc>
          <w:tcPr/>
          <w:p>
            <w:pPr>
              <w:pStyle w:val="Compact"/>
              <w:jc w:val="left"/>
            </w:pPr>
            <w:r>
              <w:t xml:space="preserve">0 occurrence pour chacune dans les 478 textes</w:t>
            </w:r>
          </w:p>
        </w:tc>
        <w:tc>
          <w:tcPr/>
          <w:p>
            <w:pPr>
              <w:pStyle w:val="Compact"/>
              <w:jc w:val="left"/>
            </w:pPr>
            <w:r>
              <w:rPr>
                <w:bCs/>
                <w:b/>
              </w:rPr>
              <w:t xml:space="preserve">Faux</w:t>
            </w:r>
          </w:p>
        </w:tc>
      </w:tr>
      <w:tr>
        <w:tc>
          <w:tcPr/>
          <w:p>
            <w:pPr>
              <w:pStyle w:val="Compact"/>
              <w:jc w:val="left"/>
            </w:pPr>
            <w:r>
              <w:t xml:space="preserve">Exemple «</w:t>
            </w:r>
            <w:r>
              <w:t xml:space="preserve"> </w:t>
            </w:r>
            <w:r>
              <w:rPr>
                <w:iCs/>
                <w:i/>
              </w:rPr>
              <w:t xml:space="preserve">AGAPE MIRAE BONITATIS ET DISCRETIONIS FEMINAE… IN DEO</w:t>
            </w:r>
            <w:r>
              <w:t xml:space="preserve"> </w:t>
            </w:r>
            <w:r>
              <w:t xml:space="preserve">»</w:t>
            </w:r>
          </w:p>
        </w:tc>
        <w:tc>
          <w:tcPr/>
          <w:p>
            <w:pPr>
              <w:pStyle w:val="Compact"/>
              <w:jc w:val="left"/>
            </w:pPr>
            <w:r>
              <w:t xml:space="preserve">absent du corpus</w:t>
            </w:r>
          </w:p>
        </w:tc>
        <w:tc>
          <w:tcPr/>
          <w:p>
            <w:pPr>
              <w:pStyle w:val="Compact"/>
              <w:jc w:val="left"/>
            </w:pPr>
            <w:r>
              <w:rPr>
                <w:bCs/>
                <w:b/>
              </w:rPr>
              <w:t xml:space="preserve">Citation non attestée dans le corpus</w:t>
            </w:r>
          </w:p>
        </w:tc>
      </w:tr>
      <w:tr>
        <w:tc>
          <w:tcPr/>
          <w:p>
            <w:pPr>
              <w:pStyle w:val="Compact"/>
              <w:jc w:val="left"/>
            </w:pPr>
            <w:r>
              <w:t xml:space="preserve">Exemple «</w:t>
            </w:r>
            <w:r>
              <w:t xml:space="preserve"> </w:t>
            </w:r>
            <w:r>
              <w:rPr>
                <w:iCs/>
                <w:i/>
              </w:rPr>
              <w:t xml:space="preserve">… THEODOSIO AUG III ET ABUNDANTIO V C CONSS</w:t>
            </w:r>
            <w:r>
              <w:t xml:space="preserve"> </w:t>
            </w:r>
            <w:r>
              <w:t xml:space="preserve">» (393)</w:t>
            </w:r>
          </w:p>
        </w:tc>
        <w:tc>
          <w:tcPr/>
          <w:p>
            <w:pPr>
              <w:pStyle w:val="Compact"/>
              <w:jc w:val="left"/>
            </w:pPr>
            <w:r>
              <w:t xml:space="preserve">aucun texte du corpus ne contient</w:t>
            </w:r>
            <w:r>
              <w:t xml:space="preserve"> </w:t>
            </w:r>
            <w:r>
              <w:rPr>
                <w:iCs/>
                <w:i/>
              </w:rPr>
              <w:t xml:space="preserve">Abundantio</w:t>
            </w:r>
          </w:p>
        </w:tc>
        <w:tc>
          <w:tcPr/>
          <w:p>
            <w:pPr>
              <w:pStyle w:val="Compact"/>
              <w:jc w:val="left"/>
            </w:pPr>
            <w:r>
              <w:rPr>
                <w:bCs/>
                <w:b/>
              </w:rPr>
              <w:t xml:space="preserve">Citation non attestée dans le corpus</w:t>
            </w:r>
          </w:p>
        </w:tc>
      </w:tr>
      <w:tr>
        <w:tc>
          <w:tcPr/>
          <w:p>
            <w:pPr>
              <w:pStyle w:val="Compact"/>
              <w:jc w:val="left"/>
            </w:pPr>
            <w:r>
              <w:t xml:space="preserve">« plus de 65 % des fiches numérisées issues des ICVR ne mentionnent pas la nature lithologique… »</w:t>
            </w:r>
          </w:p>
        </w:tc>
        <w:tc>
          <w:tcPr/>
          <w:p>
            <w:pPr>
              <w:pStyle w:val="Compact"/>
              <w:jc w:val="left"/>
            </w:pPr>
            <w:r>
              <w:t xml:space="preserve">aucune mesure de ce type n’a été faite</w:t>
            </w:r>
          </w:p>
        </w:tc>
        <w:tc>
          <w:tcPr/>
          <w:p>
            <w:pPr>
              <w:pStyle w:val="Compact"/>
              <w:jc w:val="left"/>
            </w:pPr>
            <w:r>
              <w:rPr>
                <w:bCs/>
                <w:b/>
              </w:rPr>
              <w:t xml:space="preserve">Non attesté</w:t>
            </w:r>
          </w:p>
        </w:tc>
      </w:tr>
      <w:tr>
        <w:tc>
          <w:tcPr/>
          <w:p>
            <w:pPr>
              <w:pStyle w:val="Compact"/>
              <w:jc w:val="left"/>
            </w:pPr>
            <w:r>
              <w:t xml:space="preserve">Renvois « D. Mazzoleni (pp. 301-303) » sur Aquilée, « Morleghem, Tucci », « Macián Ferrandis », etc.</w:t>
            </w:r>
          </w:p>
        </w:tc>
        <w:tc>
          <w:tcPr/>
          <w:p>
            <w:pPr>
              <w:pStyle w:val="Compact"/>
              <w:jc w:val="left"/>
            </w:pPr>
            <w:r>
              <w:t xml:space="preserve">aucune référence complète (titre, année, volume)</w:t>
            </w:r>
          </w:p>
        </w:tc>
        <w:tc>
          <w:tcPr/>
          <w:p>
            <w:pPr>
              <w:pStyle w:val="Compact"/>
              <w:jc w:val="left"/>
            </w:pPr>
            <w:r>
              <w:rPr>
                <w:bCs/>
                <w:b/>
              </w:rPr>
              <w:t xml:space="preserve">Non vérifiable en l’état</w:t>
            </w:r>
          </w:p>
        </w:tc>
      </w:tr>
    </w:tbl>
    <w:bookmarkEnd w:id="69"/>
    <w:bookmarkStart w:id="70" w:name="conséquence-pour-le-manuscrit"/>
    <w:p>
      <w:pPr>
        <w:pStyle w:val="Heading2"/>
      </w:pPr>
      <w:r>
        <w:t xml:space="preserve">Conséquence pour le manuscrit</w:t>
      </w:r>
    </w:p>
    <w:p>
      <w:pPr>
        <w:pStyle w:val="FirstParagraph"/>
      </w:pPr>
      <w:r>
        <w:t xml:space="preserve">Aucun chiffre, aucune citation ni aucune attribution de ce document ne peut entrer dans la v3. Si certaines idées historiographiques en sont reprises (débat Saller–Shaw, Veyne, « Rome from below »), il faut les rétablir à partir des publications elles-mêmes, avec référence complète et pagination vérifiée.</w:t>
      </w:r>
    </w:p>
    <w:bookmarkEnd w:id="70"/>
    <w:bookmarkEnd w:id="71"/>
    <w:bookmarkStart w:id="75" w:name="Xf079e2dfd25327bc4820edc49249b67456658c8"/>
    <w:p>
      <w:pPr>
        <w:pStyle w:val="Heading1"/>
      </w:pPr>
      <w:r>
        <w:t xml:space="preserve">Évaluation du manuscrit (v2.0 + lots 1-5 de consolidation), notée sur 20</w:t>
      </w:r>
    </w:p>
    <w:p>
      <w:pPr>
        <w:pStyle w:val="FirstParagraph"/>
      </w:pPr>
      <w:r>
        <w:t xml:space="preserve">L’évaluation est</w:t>
      </w:r>
      <w:r>
        <w:t xml:space="preserve"> </w:t>
      </w:r>
      <w:r>
        <w:rPr>
          <w:bCs/>
          <w:b/>
        </w:rPr>
        <w:t xml:space="preserve">interne</w:t>
      </w:r>
      <w:r>
        <w:t xml:space="preserve"> </w:t>
      </w:r>
      <w:r>
        <w:t xml:space="preserve">: elle ne remplace pas une expertise par les pairs. Le barème est donné en premier pour que chacun puisse refaire le calcul et le contester.</w:t>
      </w:r>
    </w:p>
    <w:bookmarkStart w:id="72" w:name="barème-5-critères-notés-sur-4-points"/>
    <w:p>
      <w:pPr>
        <w:pStyle w:val="Heading2"/>
      </w:pPr>
      <w:r>
        <w:t xml:space="preserve">Barème : 5 critères notés sur 4 points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Critère</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p>
            <w:pPr>
              <w:pStyle w:val="Compact"/>
              <w:jc w:val="left"/>
            </w:pPr>
            <w:r>
              <w:rPr>
                <w:bCs/>
                <w:b/>
              </w:rPr>
              <w:t xml:space="preserve">1. Établissement du texte</w:t>
            </w:r>
          </w:p>
        </w:tc>
        <w:tc>
          <w:tcPr/>
          <w:p>
            <w:pPr>
              <w:pStyle w:val="Compact"/>
              <w:jc w:val="left"/>
            </w:pPr>
            <w:r>
              <w:t xml:space="preserve">textes non sourcés</w:t>
            </w:r>
          </w:p>
        </w:tc>
        <w:tc>
          <w:tcPr/>
          <w:p>
            <w:pPr>
              <w:pStyle w:val="Compact"/>
              <w:jc w:val="left"/>
            </w:pPr>
            <w:r>
              <w:t xml:space="preserve">une base secondaire, sans contrôle</w:t>
            </w:r>
          </w:p>
        </w:tc>
        <w:tc>
          <w:tcPr/>
          <w:p>
            <w:pPr>
              <w:pStyle w:val="Compact"/>
              <w:jc w:val="left"/>
            </w:pPr>
            <w:r>
              <w:t xml:space="preserve">deux bases indépendantes comparées</w:t>
            </w:r>
          </w:p>
        </w:tc>
        <w:tc>
          <w:tcPr/>
          <w:p>
            <w:pPr>
              <w:pStyle w:val="Compact"/>
              <w:jc w:val="left"/>
            </w:pPr>
            <w:r>
              <w:t xml:space="preserve">collation sur l’édition critique imprimée (ICVR)</w:t>
            </w:r>
          </w:p>
        </w:tc>
        <w:tc>
          <w:tcPr/>
          <w:p>
            <w:pPr>
              <w:pStyle w:val="Compact"/>
              <w:jc w:val="left"/>
            </w:pPr>
            <w:r>
              <w:t xml:space="preserve">autopsie ou photographies pour les cas litigieux</w:t>
            </w:r>
          </w:p>
        </w:tc>
      </w:tr>
      <w:tr>
        <w:tc>
          <w:tcPr/>
          <w:p>
            <w:pPr>
              <w:pStyle w:val="Compact"/>
              <w:jc w:val="left"/>
            </w:pPr>
            <w:r>
              <w:rPr>
                <w:bCs/>
                <w:b/>
              </w:rPr>
              <w:t xml:space="preserve">2. Documentation matérielle et provenance</w:t>
            </w:r>
          </w:p>
        </w:tc>
        <w:tc>
          <w:tcPr/>
          <w:p>
            <w:pPr>
              <w:pStyle w:val="Compact"/>
              <w:jc w:val="left"/>
            </w:pPr>
            <w:r>
              <w:t xml:space="preserve">absente</w:t>
            </w:r>
          </w:p>
        </w:tc>
        <w:tc>
          <w:tcPr/>
          <w:p>
            <w:pPr>
              <w:pStyle w:val="Compact"/>
              <w:jc w:val="left"/>
            </w:pPr>
            <w:r>
              <w:t xml:space="preserve">provenance seulement</w:t>
            </w:r>
          </w:p>
        </w:tc>
        <w:tc>
          <w:tcPr/>
          <w:p>
            <w:pPr>
              <w:pStyle w:val="Compact"/>
              <w:jc w:val="left"/>
            </w:pPr>
            <w:r>
              <w:t xml:space="preserve">provenance et conservation</w:t>
            </w:r>
          </w:p>
        </w:tc>
        <w:tc>
          <w:tcPr/>
          <w:p>
            <w:pPr>
              <w:pStyle w:val="Compact"/>
              <w:jc w:val="left"/>
            </w:pPr>
            <w:r>
              <w:t xml:space="preserve">plus support, dimensions et état</w:t>
            </w:r>
          </w:p>
        </w:tc>
        <w:tc>
          <w:tcPr/>
          <w:p>
            <w:pPr>
              <w:pStyle w:val="Compact"/>
              <w:jc w:val="left"/>
            </w:pPr>
            <w:r>
              <w:t xml:space="preserve">plus contexte archéologique et photographies sous droits établis</w:t>
            </w:r>
          </w:p>
        </w:tc>
      </w:tr>
      <w:tr>
        <w:tc>
          <w:tcPr/>
          <w:p>
            <w:pPr>
              <w:pStyle w:val="Compact"/>
              <w:jc w:val="left"/>
            </w:pPr>
            <w:r>
              <w:rPr>
                <w:bCs/>
                <w:b/>
              </w:rPr>
              <w:t xml:space="preserve">3. Chronologie</w:t>
            </w:r>
          </w:p>
        </w:tc>
        <w:tc>
          <w:tcPr/>
          <w:p>
            <w:pPr>
              <w:pStyle w:val="Compact"/>
              <w:jc w:val="left"/>
            </w:pPr>
            <w:r>
              <w:t xml:space="preserve">non contrôlée</w:t>
            </w:r>
          </w:p>
        </w:tc>
        <w:tc>
          <w:tcPr/>
          <w:p>
            <w:pPr>
              <w:pStyle w:val="Compact"/>
              <w:jc w:val="left"/>
            </w:pPr>
            <w:r>
              <w:t xml:space="preserve">contrôle interne partiel</w:t>
            </w:r>
          </w:p>
        </w:tc>
        <w:tc>
          <w:tcPr/>
          <w:p>
            <w:pPr>
              <w:pStyle w:val="Compact"/>
              <w:jc w:val="left"/>
            </w:pPr>
            <w:r>
              <w:t xml:space="preserve">contrôle consulaire et calendaire systématique</w:t>
            </w:r>
          </w:p>
        </w:tc>
        <w:tc>
          <w:tcPr/>
          <w:p>
            <w:pPr>
              <w:pStyle w:val="Compact"/>
              <w:jc w:val="left"/>
            </w:pPr>
            <w:r>
              <w:t xml:space="preserve">contrôlé sur les fastes de référence (CLRE)</w:t>
            </w:r>
          </w:p>
        </w:tc>
        <w:tc>
          <w:tcPr/>
          <w:p>
            <w:pPr>
              <w:pStyle w:val="Compact"/>
              <w:jc w:val="left"/>
            </w:pPr>
            <w:r>
              <w:t xml:space="preserve">divergences résolues sur l’ICVR et CLRE</w:t>
            </w:r>
          </w:p>
        </w:tc>
      </w:tr>
      <w:tr>
        <w:tc>
          <w:tcPr/>
          <w:p>
            <w:pPr>
              <w:pStyle w:val="Compact"/>
              <w:jc w:val="left"/>
            </w:pPr>
            <w:r>
              <w:rPr>
                <w:bCs/>
                <w:b/>
              </w:rPr>
              <w:t xml:space="preserve">4. État de la recherche et bibliographie</w:t>
            </w:r>
          </w:p>
        </w:tc>
        <w:tc>
          <w:tcPr/>
          <w:p>
            <w:pPr>
              <w:pStyle w:val="Compact"/>
              <w:jc w:val="left"/>
            </w:pPr>
            <w:r>
              <w:t xml:space="preserve">absente</w:t>
            </w:r>
          </w:p>
        </w:tc>
        <w:tc>
          <w:tcPr/>
          <w:p>
            <w:pPr>
              <w:pStyle w:val="Compact"/>
              <w:jc w:val="left"/>
            </w:pPr>
            <w:r>
              <w:t xml:space="preserve">liste de noms</w:t>
            </w:r>
          </w:p>
        </w:tc>
        <w:tc>
          <w:tcPr/>
          <w:p>
            <w:pPr>
              <w:pStyle w:val="Compact"/>
              <w:jc w:val="left"/>
            </w:pPr>
            <w:r>
              <w:t xml:space="preserve">références complètes, non vérifiées</w:t>
            </w:r>
          </w:p>
        </w:tc>
        <w:tc>
          <w:tcPr/>
          <w:p>
            <w:pPr>
              <w:pStyle w:val="Compact"/>
              <w:jc w:val="left"/>
            </w:pPr>
            <w:r>
              <w:t xml:space="preserve">références vérifiées, débats présentés</w:t>
            </w:r>
          </w:p>
        </w:tc>
        <w:tc>
          <w:tcPr/>
          <w:p>
            <w:pPr>
              <w:pStyle w:val="Compact"/>
              <w:jc w:val="left"/>
            </w:pPr>
            <w:r>
              <w:t xml:space="preserve">débats confrontés sur pièces, pagination contrôlée</w:t>
            </w:r>
          </w:p>
        </w:tc>
      </w:tr>
      <w:tr>
        <w:tc>
          <w:tcPr/>
          <w:p>
            <w:pPr>
              <w:pStyle w:val="Compact"/>
              <w:jc w:val="left"/>
            </w:pPr>
            <w:r>
              <w:rPr>
                <w:bCs/>
                <w:b/>
              </w:rPr>
              <w:t xml:space="preserve">5. Méthode, traçabilité, probité</w:t>
            </w:r>
          </w:p>
        </w:tc>
        <w:tc>
          <w:tcPr/>
          <w:p>
            <w:pPr>
              <w:pStyle w:val="Compact"/>
              <w:jc w:val="left"/>
            </w:pPr>
            <w:r>
              <w:t xml:space="preserve">opaque</w:t>
            </w:r>
          </w:p>
        </w:tc>
        <w:tc>
          <w:tcPr/>
          <w:p>
            <w:pPr>
              <w:pStyle w:val="Compact"/>
              <w:jc w:val="left"/>
            </w:pPr>
            <w:r>
              <w:t xml:space="preserve">déclarée</w:t>
            </w:r>
          </w:p>
        </w:tc>
        <w:tc>
          <w:tcPr/>
          <w:p>
            <w:pPr>
              <w:pStyle w:val="Compact"/>
              <w:jc w:val="left"/>
            </w:pPr>
            <w:r>
              <w:t xml:space="preserve">reproductible (données et scripts)</w:t>
            </w:r>
          </w:p>
        </w:tc>
        <w:tc>
          <w:tcPr/>
          <w:p>
            <w:pPr>
              <w:pStyle w:val="Compact"/>
              <w:jc w:val="left"/>
            </w:pPr>
            <w:r>
              <w:t xml:space="preserve">reproductible, avec registre des sources et des anomalies</w:t>
            </w:r>
          </w:p>
        </w:tc>
        <w:tc>
          <w:tcPr/>
          <w:p>
            <w:pPr>
              <w:pStyle w:val="Compact"/>
              <w:jc w:val="left"/>
            </w:pPr>
            <w:r>
              <w:t xml:space="preserve">idem, et validée par un tiers</w:t>
            </w:r>
          </w:p>
        </w:tc>
      </w:tr>
    </w:tbl>
    <w:bookmarkEnd w:id="72"/>
    <w:bookmarkStart w:id="73" w:name="notes"/>
    <w:p>
      <w:pPr>
        <w:pStyle w:val="Heading2"/>
      </w:pPr>
      <w:r>
        <w:t xml:space="preserve">Notes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Critère</w:t>
            </w:r>
          </w:p>
        </w:tc>
        <w:tc>
          <w:tcPr/>
          <w:p>
            <w:pPr>
              <w:pStyle w:val="Compact"/>
              <w:jc w:val="left"/>
            </w:pPr>
            <w:r>
              <w:t xml:space="preserve">v2.0 seule</w:t>
            </w:r>
          </w:p>
        </w:tc>
        <w:tc>
          <w:tcPr/>
          <w:p>
            <w:pPr>
              <w:pStyle w:val="Compact"/>
              <w:jc w:val="left"/>
            </w:pPr>
            <w:r>
              <w:t xml:space="preserve">v2.0 + lots 1-5</w:t>
            </w:r>
          </w:p>
        </w:tc>
        <w:tc>
          <w:tcPr/>
          <w:p>
            <w:pPr>
              <w:pStyle w:val="Compact"/>
              <w:jc w:val="left"/>
            </w:pPr>
            <w:r>
              <w:t xml:space="preserve">Justification</w:t>
            </w:r>
          </w:p>
        </w:tc>
      </w:tr>
      <w:tr>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2</w:t>
            </w:r>
            <w:r>
              <w:t xml:space="preserve"> </w:t>
            </w:r>
            <w:r>
              <w:t xml:space="preserve">(partiel)</w:t>
            </w:r>
          </w:p>
        </w:tc>
        <w:tc>
          <w:tcPr/>
          <w:p>
            <w:pPr>
              <w:pStyle w:val="Compact"/>
              <w:jc w:val="left"/>
            </w:pPr>
            <w:r>
              <w:t xml:space="preserve">456 notices sur 478 confrontées à l’EDB, avec appoint de l’EDH (16 absentes de la liste publique, 6 introuvables) ; aucune collation sur l’ICVR, aucune autopsie</w:t>
            </w:r>
          </w:p>
        </w:tc>
      </w:tr>
      <w:tr>
        <w:tc>
          <w:tcPr/>
          <w:p>
            <w:pPr>
              <w:pStyle w:val="Compact"/>
              <w:jc w:val="left"/>
            </w:pPr>
            <w:r>
              <w:t xml:space="preserve">2</w:t>
            </w:r>
          </w:p>
        </w:tc>
        <w:tc>
          <w:tcPr/>
          <w:p>
            <w:pPr>
              <w:pStyle w:val="Compact"/>
              <w:jc w:val="left"/>
            </w:pPr>
            <w:r>
              <w:t xml:space="preserve">0</w:t>
            </w:r>
          </w:p>
        </w:tc>
        <w:tc>
          <w:tcPr/>
          <w:p>
            <w:pPr>
              <w:pStyle w:val="Compact"/>
              <w:jc w:val="left"/>
            </w:pPr>
            <w:r>
              <w:rPr>
                <w:bCs/>
                <w:b/>
              </w:rPr>
              <w:t xml:space="preserve">1,5</w:t>
            </w:r>
          </w:p>
        </w:tc>
        <w:tc>
          <w:tcPr/>
          <w:p>
            <w:pPr>
              <w:pStyle w:val="Compact"/>
              <w:jc w:val="left"/>
            </w:pPr>
            <w:r>
              <w:t xml:space="preserve">provenance et conservation désormais connues pour une partie des notices (EDB) ; ni dimensions, ni support, ni photographie</w:t>
            </w:r>
          </w:p>
        </w:tc>
      </w:tr>
      <w:tr>
        <w:tc>
          <w:tcPr/>
          <w:p>
            <w:pPr>
              <w:pStyle w:val="Compact"/>
              <w:jc w:val="left"/>
            </w:pPr>
            <w:r>
              <w:t xml:space="preserve">3</w:t>
            </w:r>
          </w:p>
        </w:tc>
        <w:tc>
          <w:tcPr/>
          <w:p>
            <w:pPr>
              <w:pStyle w:val="Compact"/>
              <w:jc w:val="left"/>
            </w:pPr>
            <w:r>
              <w:t xml:space="preserve">2,5</w:t>
            </w:r>
          </w:p>
        </w:tc>
        <w:tc>
          <w:tcPr/>
          <w:p>
            <w:pPr>
              <w:pStyle w:val="Compact"/>
              <w:jc w:val="left"/>
            </w:pPr>
            <w:r>
              <w:rPr>
                <w:bCs/>
                <w:b/>
              </w:rPr>
              <w:t xml:space="preserve">2,5</w:t>
            </w:r>
          </w:p>
        </w:tc>
        <w:tc>
          <w:tcPr/>
          <w:p>
            <w:pPr>
              <w:pStyle w:val="Compact"/>
              <w:jc w:val="left"/>
            </w:pPr>
            <w:r>
              <w:t xml:space="preserve">contrôle consulaire interne ; lot 5 : fondement de chaque année établi (lu, partiel, initiales, restitué), 20 datations par restitution isolées, 30 faux consuls retirés ; CLRE non consulté ; divergences de date avec l’EDB non résolues</w:t>
            </w:r>
          </w:p>
        </w:tc>
      </w:tr>
      <w:tr>
        <w:tc>
          <w:tcPr/>
          <w:p>
            <w:pPr>
              <w:pStyle w:val="Compact"/>
              <w:jc w:val="left"/>
            </w:pPr>
            <w:r>
              <w:t xml:space="preserve">4</w:t>
            </w:r>
          </w:p>
        </w:tc>
        <w:tc>
          <w:tcPr/>
          <w:p>
            <w:pPr>
              <w:pStyle w:val="Compact"/>
              <w:jc w:val="left"/>
            </w:pPr>
            <w:r>
              <w:t xml:space="preserve">1</w:t>
            </w:r>
          </w:p>
        </w:tc>
        <w:tc>
          <w:tcPr/>
          <w:p>
            <w:pPr>
              <w:pStyle w:val="Compact"/>
              <w:jc w:val="left"/>
            </w:pPr>
            <w:r>
              <w:rPr>
                <w:bCs/>
                <w:b/>
              </w:rPr>
              <w:t xml:space="preserve">1</w:t>
            </w:r>
          </w:p>
        </w:tc>
        <w:tc>
          <w:tcPr/>
          <w:p>
            <w:pPr>
              <w:pStyle w:val="Compact"/>
              <w:jc w:val="left"/>
            </w:pPr>
            <w:r>
              <w:t xml:space="preserve">A055/A056 : bibliographie largement non vérifiée, historiographie descriptive ; le document « État critique » est inutilisable (audit)</w:t>
            </w:r>
          </w:p>
        </w:tc>
      </w:tr>
      <w:tr>
        <w:tc>
          <w:tcPr/>
          <w:p>
            <w:pPr>
              <w:pStyle w:val="Compact"/>
              <w:jc w:val="left"/>
            </w:pPr>
            <w:r>
              <w:t xml:space="preserve">5</w:t>
            </w:r>
          </w:p>
        </w:tc>
        <w:tc>
          <w:tcPr/>
          <w:p>
            <w:pPr>
              <w:pStyle w:val="Compact"/>
              <w:jc w:val="left"/>
            </w:pPr>
            <w:r>
              <w:t xml:space="preserve">3</w:t>
            </w:r>
          </w:p>
        </w:tc>
        <w:tc>
          <w:tcPr/>
          <w:p>
            <w:pPr>
              <w:pStyle w:val="Compact"/>
              <w:jc w:val="left"/>
            </w:pPr>
            <w:r>
              <w:rPr>
                <w:bCs/>
                <w:b/>
              </w:rPr>
              <w:t xml:space="preserve">3,5</w:t>
            </w:r>
          </w:p>
        </w:tc>
        <w:tc>
          <w:tcPr/>
          <w:p>
            <w:pPr>
              <w:pStyle w:val="Compact"/>
              <w:jc w:val="left"/>
            </w:pPr>
            <w:r>
              <w:t xml:space="preserve">base, scripts, registre d’anomalies et registre des consultations ; aucune validation par un tiers</w:t>
            </w:r>
          </w:p>
        </w:tc>
      </w:tr>
      <w:tr>
        <w:tc>
          <w:tcPr/>
          <w:p>
            <w:pPr>
              <w:pStyle w:val="Compact"/>
              <w:jc w:val="left"/>
            </w:pPr>
            <w:r>
              <w:rPr>
                <w:bCs/>
                <w:b/>
              </w:rPr>
              <w:t xml:space="preserve">Total</w:t>
            </w:r>
          </w:p>
        </w:tc>
        <w:tc>
          <w:tcPr/>
          <w:p>
            <w:pPr>
              <w:pStyle w:val="Compact"/>
              <w:jc w:val="left"/>
            </w:pPr>
            <w:r>
              <w:rPr>
                <w:bCs/>
                <w:b/>
              </w:rPr>
              <w:t xml:space="preserve">7,5/20</w:t>
            </w:r>
          </w:p>
        </w:tc>
        <w:tc>
          <w:tcPr/>
          <w:p>
            <w:pPr>
              <w:pStyle w:val="Compact"/>
              <w:jc w:val="left"/>
            </w:pPr>
            <w:r>
              <w:rPr>
                <w:bCs/>
                <w:b/>
              </w:rPr>
              <w:t xml:space="preserve">10,5/20</w:t>
            </w:r>
          </w:p>
        </w:tc>
        <w:tc>
          <w:tcPr/>
          <w:p>
            <w:pPr>
              <w:pStyle w:val="Compact"/>
            </w:pPr>
          </w:p>
        </w:tc>
      </w:tr>
    </w:tbl>
    <w:bookmarkEnd w:id="73"/>
    <w:bookmarkStart w:id="74" w:name="les-trois-statuts-demandés"/>
    <w:p>
      <w:pPr>
        <w:pStyle w:val="Heading2"/>
      </w:pPr>
      <w:r>
        <w:t xml:space="preserve">Les trois statuts demandés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Statut</w:t>
            </w:r>
          </w:p>
        </w:tc>
        <w:tc>
          <w:tcPr/>
          <w:p>
            <w:pPr>
              <w:pStyle w:val="Compact"/>
              <w:jc w:val="left"/>
            </w:pPr>
            <w:r>
              <w:t xml:space="preserve">Atteint ?</w:t>
            </w:r>
          </w:p>
        </w:tc>
        <w:tc>
          <w:tcPr/>
          <w:p>
            <w:pPr>
              <w:pStyle w:val="Compact"/>
              <w:jc w:val="left"/>
            </w:pPr>
            <w:r>
              <w:t xml:space="preserve">Conditions manquantes</w:t>
            </w:r>
          </w:p>
        </w:tc>
      </w:tr>
      <w:tr>
        <w:tc>
          <w:tcPr/>
          <w:p>
            <w:pPr>
              <w:pStyle w:val="Compact"/>
              <w:jc w:val="left"/>
            </w:pPr>
            <w:r>
              <w:rPr>
                <w:bCs/>
                <w:b/>
              </w:rPr>
              <w:t xml:space="preserve">Projet soumettable</w:t>
            </w:r>
            <w:r>
              <w:t xml:space="preserve"> </w:t>
            </w:r>
            <w:r>
              <w:t xml:space="preserve">(proposition éditoriale)</w:t>
            </w:r>
          </w:p>
        </w:tc>
        <w:tc>
          <w:tcPr/>
          <w:p>
            <w:pPr>
              <w:pStyle w:val="Compact"/>
              <w:jc w:val="left"/>
            </w:pPr>
            <w:r>
              <w:rPr>
                <w:bCs/>
                <w:b/>
              </w:rPr>
              <w:t xml:space="preserve">Oui, à condition de présenter l’ouvrage pour ce qu’il est</w:t>
            </w:r>
            <w:r>
              <w:t xml:space="preserve"> </w:t>
            </w:r>
            <w:r>
              <w:t xml:space="preserve">: une étude critique de la transmission numérique d’un corpus daté, avec analyses chronologiques et formulaires. Pas une édition critique.</w:t>
            </w:r>
          </w:p>
        </w:tc>
        <w:tc>
          <w:tcPr/>
          <w:p>
            <w:pPr>
              <w:pStyle w:val="Compact"/>
              <w:jc w:val="left"/>
            </w:pPr>
            <w:r>
              <w:t xml:space="preserve">proposition honnête sur le statut des textes, déjà rédigée dans</w:t>
            </w:r>
            <w:r>
              <w:t xml:space="preserve"> </w:t>
            </w:r>
            <w:r>
              <w:rPr>
                <w:rStyle w:val="VerbatimChar"/>
              </w:rPr>
              <w:t xml:space="preserve">PROPOSITION_EDITORIALE.md</w:t>
            </w:r>
          </w:p>
        </w:tc>
      </w:tr>
      <w:tr>
        <w:tc>
          <w:tcPr/>
          <w:p>
            <w:pPr>
              <w:pStyle w:val="Compact"/>
              <w:jc w:val="left"/>
            </w:pPr>
            <w:r>
              <w:rPr>
                <w:bCs/>
                <w:b/>
              </w:rPr>
              <w:t xml:space="preserve">Manuscrit expertisable</w:t>
            </w:r>
            <w:r>
              <w:t xml:space="preserve"> </w:t>
            </w:r>
            <w:r>
              <w:t xml:space="preserve">(envoi à des rapporteurs)</w:t>
            </w:r>
          </w:p>
        </w:tc>
        <w:tc>
          <w:tcPr/>
          <w:p>
            <w:pPr>
              <w:pStyle w:val="Compact"/>
              <w:jc w:val="left"/>
            </w:pPr>
            <w:r>
              <w:rPr>
                <w:bCs/>
                <w:b/>
              </w:rPr>
              <w:t xml:space="preserve">Non, pas encore</w:t>
            </w:r>
          </w:p>
        </w:tc>
        <w:tc>
          <w:tcPr/>
          <w:p>
            <w:pPr>
              <w:pStyle w:val="Compact"/>
              <w:jc w:val="left"/>
            </w:pPr>
            <w:r>
              <w:t xml:space="preserve">collation EDB complète (478/478) ; écarts substantiels tranchés sur l’ICVR ; bibliographie vérifiée (titres, pages) ; état de la recherche réécrit sur les publications elles-mêmes ; contrôle sur CLRE ; relecture des traductions par un latiniste et un helléniste</w:t>
            </w:r>
          </w:p>
        </w:tc>
      </w:tr>
      <w:tr>
        <w:tc>
          <w:tcPr/>
          <w:p>
            <w:pPr>
              <w:pStyle w:val="Compact"/>
              <w:jc w:val="left"/>
            </w:pPr>
            <w:r>
              <w:rPr>
                <w:bCs/>
                <w:b/>
              </w:rPr>
              <w:t xml:space="preserve">Édition définitive validée</w:t>
            </w:r>
          </w:p>
        </w:tc>
        <w:tc>
          <w:tcPr/>
          <w:p>
            <w:pPr>
              <w:pStyle w:val="Compact"/>
              <w:jc w:val="left"/>
            </w:pPr>
            <w:r>
              <w:rPr>
                <w:bCs/>
                <w:b/>
              </w:rPr>
              <w:t xml:space="preserve">Non</w:t>
            </w:r>
          </w:p>
        </w:tc>
        <w:tc>
          <w:tcPr/>
          <w:p>
            <w:pPr>
              <w:pStyle w:val="Compact"/>
              <w:jc w:val="left"/>
            </w:pPr>
            <w:r>
              <w:t xml:space="preserve">expertise externe, révisions, droits des illustrations, validation éditoriale</w:t>
            </w:r>
          </w:p>
        </w:tc>
      </w:tr>
    </w:tbl>
    <w:bookmarkEnd w:id="74"/>
    <w:bookmarkEnd w:id="75"/>
    <w:bookmarkStart w:id="77" w:name="Xa828ae1433ce2a717c51ea89dad4c4d95712d2d"/>
    <w:p>
      <w:pPr>
        <w:pStyle w:val="Heading1"/>
      </w:pPr>
      <w:r>
        <w:t xml:space="preserve">Consignes des éditeurs : ce qui a été vérifié, ce qui ne l’a pas été</w:t>
      </w:r>
    </w:p>
    <w:p>
      <w:pPr>
        <w:pStyle w:val="FirstParagraph"/>
      </w:pPr>
      <w:r>
        <w:rPr>
          <w:bCs/>
          <w:b/>
        </w:rPr>
        <w:t xml:space="preserve">Limite d’accès.</w:t>
      </w:r>
      <w:r>
        <w:t xml:space="preserve"> </w:t>
      </w:r>
      <w:r>
        <w:t xml:space="preserve">Les sites des éditeurs n’étaient pas joignables depuis l’environnement de travail. Les éléments ci-dessous viennent d’</w:t>
      </w:r>
      <w:r>
        <w:rPr>
          <w:bCs/>
          <w:b/>
        </w:rPr>
        <w:t xml:space="preserve">extraits de moteur de recherche</w:t>
      </w:r>
      <w:r>
        <w:t xml:space="preserve"> </w:t>
      </w:r>
      <w:r>
        <w:t xml:space="preserve">(14 oct. 2026), non d’une lecture des pages officielles. Chaque point doit être confirmé sur la page indiquée avant tout envoi.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Éditeur / collection</w:t>
            </w:r>
          </w:p>
        </w:tc>
        <w:tc>
          <w:tcPr/>
          <w:p>
            <w:pPr>
              <w:pStyle w:val="Compact"/>
              <w:jc w:val="left"/>
            </w:pPr>
            <w:r>
              <w:t xml:space="preserve">Élément relevé</w:t>
            </w:r>
          </w:p>
        </w:tc>
        <w:tc>
          <w:tcPr/>
          <w:p>
            <w:pPr>
              <w:pStyle w:val="Compact"/>
              <w:jc w:val="left"/>
            </w:pPr>
            <w:r>
              <w:t xml:space="preserve">Source de l’extrait</w:t>
            </w:r>
          </w:p>
        </w:tc>
        <w:tc>
          <w:tcPr/>
          <w:p>
            <w:pPr>
              <w:pStyle w:val="Compact"/>
              <w:jc w:val="left"/>
            </w:pPr>
            <w:r>
              <w:t xml:space="preserve">Statut</w:t>
            </w:r>
          </w:p>
        </w:tc>
      </w:tr>
      <w:tr>
        <w:tc>
          <w:tcPr/>
          <w:p>
            <w:pPr>
              <w:pStyle w:val="Compact"/>
              <w:jc w:val="left"/>
            </w:pPr>
            <w:r>
              <w:rPr>
                <w:bCs/>
                <w:b/>
              </w:rPr>
              <w:t xml:space="preserve">De Gruyter Brill</w:t>
            </w:r>
            <w:r>
              <w:t xml:space="preserve"> </w:t>
            </w:r>
            <w:r>
              <w:t xml:space="preserve">(fusion de De Gruyter et Brill)</w:t>
            </w:r>
          </w:p>
        </w:tc>
        <w:tc>
          <w:tcPr/>
          <w:p>
            <w:pPr>
              <w:pStyle w:val="Compact"/>
              <w:jc w:val="left"/>
            </w:pPr>
            <w:r>
              <w:t xml:space="preserve">page « Submit A Book Proposal » dans la rubrique</w:t>
            </w:r>
            <w:r>
              <w:t xml:space="preserve"> </w:t>
            </w:r>
            <w:r>
              <w:rPr>
                <w:iCs/>
                <w:i/>
              </w:rPr>
              <w:t xml:space="preserve">For Book Authors</w:t>
            </w:r>
          </w:p>
        </w:tc>
        <w:tc>
          <w:tcPr/>
          <w:p>
            <w:pPr>
              <w:pStyle w:val="Compact"/>
              <w:jc w:val="left"/>
            </w:pPr>
            <w:r>
              <w:t xml:space="preserve">navigation du site degruyterbrill.com (résultat de recherche)</w:t>
            </w:r>
          </w:p>
        </w:tc>
        <w:tc>
          <w:tcPr/>
          <w:p>
            <w:pPr>
              <w:pStyle w:val="Compact"/>
              <w:jc w:val="left"/>
            </w:pPr>
            <w:r>
              <w:t xml:space="preserve">contenu non lu</w:t>
            </w:r>
          </w:p>
        </w:tc>
      </w:tr>
      <w:tr>
        <w:tc>
          <w:tcPr/>
          <w:p>
            <w:pPr>
              <w:pStyle w:val="Compact"/>
              <w:jc w:val="left"/>
            </w:pPr>
            <w:r>
              <w:t xml:space="preserve">De Gruyter Brill — politique IA</w:t>
            </w:r>
          </w:p>
        </w:tc>
        <w:tc>
          <w:tcPr/>
          <w:p>
            <w:pPr>
              <w:pStyle w:val="Compact"/>
              <w:jc w:val="left"/>
            </w:pPr>
            <w:r>
              <w:t xml:space="preserve">pas de textes « générés par l’IA » ; l’auteur reste responsable de tout ; déclaration requise quand l’IA a contribué de façon significative à une partie du manuscrit ; usage méthodologique à décrire dans les remerciements</w:t>
            </w:r>
          </w:p>
        </w:tc>
        <w:tc>
          <w:tcPr/>
          <w:p>
            <w:pPr>
              <w:pStyle w:val="Compact"/>
              <w:jc w:val="left"/>
            </w:pPr>
            <w:r>
              <w:t xml:space="preserve">https://degruyterbrill.com/en/ai-for-authors (extrait) ; miroirs tiers</w:t>
            </w:r>
          </w:p>
        </w:tc>
        <w:tc>
          <w:tcPr/>
          <w:p>
            <w:pPr>
              <w:pStyle w:val="Compact"/>
              <w:jc w:val="left"/>
            </w:pPr>
            <w:r>
              <w:rPr>
                <w:bCs/>
                <w:b/>
              </w:rPr>
              <w:t xml:space="preserve">à lire intégralement</w:t>
            </w:r>
            <w:r>
              <w:t xml:space="preserve"> </w:t>
            </w:r>
            <w:r>
              <w:t xml:space="preserve">: le manuscrit déclare une rédaction assistée par un modèle de langage ; ce point est décisif pour la recevabilité</w:t>
            </w:r>
          </w:p>
        </w:tc>
      </w:tr>
      <w:tr>
        <w:tc>
          <w:tcPr/>
          <w:p>
            <w:pPr>
              <w:pStyle w:val="Compact"/>
              <w:jc w:val="left"/>
            </w:pPr>
            <w:r>
              <w:t xml:space="preserve">Brill Studies in Greek and Roman Epigraphy</w:t>
            </w:r>
          </w:p>
        </w:tc>
        <w:tc>
          <w:tcPr/>
          <w:p>
            <w:pPr>
              <w:pStyle w:val="Compact"/>
              <w:jc w:val="left"/>
            </w:pPr>
            <w:r>
              <w:t xml:space="preserve">collection créée en 2012 (A. Scafuro, J. Bodel)</w:t>
            </w:r>
          </w:p>
        </w:tc>
        <w:tc>
          <w:tcPr/>
          <w:p>
            <w:pPr>
              <w:pStyle w:val="Compact"/>
              <w:jc w:val="left"/>
            </w:pPr>
            <w:r>
              <w:t xml:space="preserve">notices de catalogues (relbib.de, oeaw.ac.at)</w:t>
            </w:r>
          </w:p>
        </w:tc>
        <w:tc>
          <w:tcPr/>
          <w:p>
            <w:pPr>
              <w:pStyle w:val="Compact"/>
              <w:jc w:val="left"/>
            </w:pPr>
            <w:r>
              <w:t xml:space="preserve">adéquation thématique plausible ; consignes non lues</w:t>
            </w:r>
          </w:p>
        </w:tc>
      </w:tr>
      <w:tr>
        <w:tc>
          <w:tcPr/>
          <w:p>
            <w:pPr>
              <w:pStyle w:val="Compact"/>
              <w:jc w:val="left"/>
            </w:pPr>
            <w:r>
              <w:rPr>
                <w:bCs/>
                <w:b/>
              </w:rPr>
              <w:t xml:space="preserve">Brepols</w:t>
            </w:r>
            <w:r>
              <w:t xml:space="preserve"> </w:t>
            </w:r>
            <w:r>
              <w:t xml:space="preserve">—</w:t>
            </w:r>
            <w:r>
              <w:t xml:space="preserve"> </w:t>
            </w:r>
            <w:r>
              <w:rPr>
                <w:iCs/>
                <w:i/>
              </w:rPr>
              <w:t xml:space="preserve">Rome Studies. Archaeology, History, &amp; Literature</w:t>
            </w:r>
          </w:p>
        </w:tc>
        <w:tc>
          <w:tcPr/>
          <w:p>
            <w:pPr>
              <w:pStyle w:val="Compact"/>
              <w:jc w:val="left"/>
            </w:pPr>
            <w:r>
              <w:t xml:space="preserve">monographies et volumes collectifs ; éditeurs généraux T. Arlund Hass, R. Raja (Aarhus) ; évaluation en double aveugle ; formulaire de proposition et guide d’auteur sur le site Brepols</w:t>
            </w:r>
          </w:p>
        </w:tc>
        <w:tc>
          <w:tcPr/>
          <w:p>
            <w:pPr>
              <w:pStyle w:val="Compact"/>
              <w:jc w:val="left"/>
            </w:pPr>
            <w:r>
              <w:t xml:space="preserve">flyer Brepols et page de collection (brepols.net/series/RS)</w:t>
            </w:r>
          </w:p>
        </w:tc>
        <w:tc>
          <w:tcPr/>
          <w:p>
            <w:pPr>
              <w:pStyle w:val="Compact"/>
              <w:jc w:val="left"/>
            </w:pPr>
            <w:r>
              <w:t xml:space="preserve">à confirmer ; à noter : les exports EDCS utilisés par PRISME viennent du projet SDAM d’Aarhus</w:t>
            </w:r>
          </w:p>
        </w:tc>
      </w:tr>
      <w:tr>
        <w:tc>
          <w:tcPr/>
          <w:p>
            <w:pPr>
              <w:pStyle w:val="Compact"/>
              <w:jc w:val="left"/>
            </w:pPr>
            <w:r>
              <w:t xml:space="preserve">Brepols —</w:t>
            </w:r>
            <w:r>
              <w:t xml:space="preserve"> </w:t>
            </w:r>
            <w:r>
              <w:rPr>
                <w:iCs/>
                <w:i/>
              </w:rPr>
              <w:t xml:space="preserve">Studies in Byzantine Epigraphy</w:t>
            </w:r>
          </w:p>
        </w:tc>
        <w:tc>
          <w:tcPr/>
          <w:p>
            <w:pPr>
              <w:pStyle w:val="Compact"/>
              <w:jc w:val="left"/>
            </w:pPr>
            <w:r>
              <w:t xml:space="preserve">inclut l’Antiquité tardive ; évaluation en simple aveugle ; langues : allemand, anglais, français, italien</w:t>
            </w:r>
          </w:p>
        </w:tc>
        <w:tc>
          <w:tcPr/>
          <w:p>
            <w:pPr>
              <w:pStyle w:val="Compact"/>
              <w:jc w:val="left"/>
            </w:pPr>
            <w:r>
              <w:t xml:space="preserve">brepolsonline.net (extrait)</w:t>
            </w:r>
          </w:p>
        </w:tc>
        <w:tc>
          <w:tcPr/>
          <w:p>
            <w:pPr>
              <w:pStyle w:val="Compact"/>
              <w:jc w:val="left"/>
            </w:pPr>
            <w:r>
              <w:t xml:space="preserve">adéquation faible (axe byzantin)</w:t>
            </w:r>
          </w:p>
        </w:tc>
      </w:tr>
      <w:tr>
        <w:tc>
          <w:tcPr/>
          <w:p>
            <w:pPr>
              <w:pStyle w:val="Compact"/>
              <w:jc w:val="left"/>
            </w:pPr>
            <w:r>
              <w:rPr>
                <w:bCs/>
                <w:b/>
              </w:rPr>
              <w:t xml:space="preserve">École française de Rome</w:t>
            </w:r>
            <w:r>
              <w:t xml:space="preserve"> </w:t>
            </w:r>
            <w:r>
              <w:t xml:space="preserve">— Collection de l’EFR</w:t>
            </w:r>
          </w:p>
        </w:tc>
        <w:tc>
          <w:tcPr/>
          <w:p>
            <w:pPr>
              <w:pStyle w:val="Compact"/>
              <w:jc w:val="left"/>
            </w:pPr>
            <w:r>
              <w:t xml:space="preserve">collection de monographies et d’ouvrages collectifs (créée en 1972) ; pour les revues (MEFR), propositions par courriel au rédacteur en chef, selon les normes de l’EFR</w:t>
            </w:r>
          </w:p>
        </w:tc>
        <w:tc>
          <w:tcPr/>
          <w:p>
            <w:pPr>
              <w:pStyle w:val="Compact"/>
              <w:jc w:val="left"/>
            </w:pPr>
            <w:r>
              <w:t xml:space="preserve">OpenEdition Books ; page « Consignes aux auteurs » des MEFR</w:t>
            </w:r>
          </w:p>
        </w:tc>
        <w:tc>
          <w:tcPr/>
          <w:p>
            <w:pPr>
              <w:pStyle w:val="Compact"/>
              <w:jc w:val="left"/>
            </w:pPr>
            <w:r>
              <w:t xml:space="preserve">consignes propres à la Collection non trouvées</w:t>
            </w:r>
          </w:p>
        </w:tc>
      </w:tr>
      <w:tr>
        <w:tc>
          <w:tcPr/>
          <w:p>
            <w:pPr>
              <w:pStyle w:val="Compact"/>
              <w:jc w:val="left"/>
            </w:pPr>
            <w:r>
              <w:rPr>
                <w:bCs/>
                <w:b/>
              </w:rPr>
              <w:t xml:space="preserve">Pontificio Istituto di Archeologia Cristiana</w:t>
            </w:r>
            <w:r>
              <w:t xml:space="preserve"> </w:t>
            </w:r>
            <w:r>
              <w:t xml:space="preserve">—</w:t>
            </w:r>
            <w:r>
              <w:t xml:space="preserve"> </w:t>
            </w:r>
            <w:r>
              <w:rPr>
                <w:iCs/>
                <w:i/>
              </w:rPr>
              <w:t xml:space="preserve">Sussidi allo studio delle antichità cristiane</w:t>
            </w:r>
          </w:p>
        </w:tc>
        <w:tc>
          <w:tcPr/>
          <w:p>
            <w:pPr>
              <w:pStyle w:val="Compact"/>
              <w:jc w:val="left"/>
            </w:pPr>
            <w:r>
              <w:t xml:space="preserve">collection depuis 1936 (vol. 28 en 2016) ; le PIAC publie aussi les ICVR</w:t>
            </w:r>
          </w:p>
        </w:tc>
        <w:tc>
          <w:tcPr/>
          <w:p>
            <w:pPr>
              <w:pStyle w:val="Compact"/>
              <w:jc w:val="left"/>
            </w:pPr>
            <w:r>
              <w:t xml:space="preserve">Zenon DAI, catalogue ÖAW</w:t>
            </w:r>
          </w:p>
        </w:tc>
        <w:tc>
          <w:tcPr/>
          <w:p>
            <w:pPr>
              <w:pStyle w:val="Compact"/>
              <w:jc w:val="left"/>
            </w:pPr>
            <w:r>
              <w:t xml:space="preserve">procédure de proposition non trouvée</w:t>
            </w:r>
          </w:p>
        </w:tc>
      </w:tr>
    </w:tbl>
    <w:bookmarkStart w:id="76" w:name="recommandation-éditoriale"/>
    <w:p>
      <w:pPr>
        <w:pStyle w:val="Heading2"/>
      </w:pPr>
      <w:r>
        <w:t xml:space="preserve">Recommandation éditoriale</w:t>
      </w:r>
    </w:p>
    <w:p>
      <w:pPr>
        <w:numPr>
          <w:ilvl w:val="0"/>
          <w:numId w:val="1034"/>
        </w:numPr>
        <w:pStyle w:val="Compact"/>
      </w:pPr>
      <w:r>
        <w:rPr>
          <w:bCs/>
          <w:b/>
        </w:rPr>
        <w:t xml:space="preserve">Article d’abord.</w:t>
      </w:r>
      <w:r>
        <w:t xml:space="preserve"> </w:t>
      </w:r>
      <w:r>
        <w:t xml:space="preserve">Le résultat le plus solide et le plus neuf de ce lot est méthodologique : la transmission numérique EDCS/EDB du corpus daté, avec ses lignes et parties grecques omises, ses signes chrétiens absents et ses restitutions divergentes. Il se prête à un</w:t>
      </w:r>
      <w:r>
        <w:t xml:space="preserve"> </w:t>
      </w:r>
      <w:r>
        <w:rPr>
          <w:bCs/>
          <w:b/>
        </w:rPr>
        <w:t xml:space="preserve">article</w:t>
      </w:r>
      <w:r>
        <w:t xml:space="preserve"> </w:t>
      </w:r>
      <w:r>
        <w:t xml:space="preserve">dans une revue d’épigraphie ou d’archéologie chrétienne. Avantages : expertise par les pairs rapide, et validation externe de la méthode avant la monographie.</w:t>
      </w:r>
    </w:p>
    <w:p>
      <w:pPr>
        <w:numPr>
          <w:ilvl w:val="0"/>
          <w:numId w:val="1034"/>
        </w:numPr>
        <w:pStyle w:val="Compact"/>
      </w:pPr>
      <w:r>
        <w:rPr>
          <w:bCs/>
          <w:b/>
        </w:rPr>
        <w:t xml:space="preserve">Monographie ensuite</w:t>
      </w:r>
      <w:r>
        <w:t xml:space="preserve">, présentée comme une</w:t>
      </w:r>
      <w:r>
        <w:t xml:space="preserve"> </w:t>
      </w:r>
      <w:r>
        <w:rPr>
          <w:bCs/>
          <w:b/>
        </w:rPr>
        <w:t xml:space="preserve">étude documentaire critique</w:t>
      </w:r>
      <w:r>
        <w:t xml:space="preserve">, non comme une édition. La cible n’est réaliste qu’une fois le manuscrit « expertisable » (voir</w:t>
      </w:r>
      <w:r>
        <w:t xml:space="preserve"> </w:t>
      </w:r>
      <w:r>
        <w:rPr>
          <w:rStyle w:val="VerbatimChar"/>
        </w:rPr>
        <w:t xml:space="preserve">EVALUATION_SUR_20.md</w:t>
      </w:r>
      <w:r>
        <w:t xml:space="preserve">).</w:t>
      </w:r>
    </w:p>
    <w:p>
      <w:pPr>
        <w:numPr>
          <w:ilvl w:val="0"/>
          <w:numId w:val="1034"/>
        </w:numPr>
        <w:pStyle w:val="Compact"/>
      </w:pPr>
      <w:r>
        <w:rPr>
          <w:bCs/>
          <w:b/>
        </w:rPr>
        <w:t xml:space="preserve">Déclaration d’usage de l’IA.</w:t>
      </w:r>
      <w:r>
        <w:t xml:space="preserve"> </w:t>
      </w:r>
      <w:r>
        <w:t xml:space="preserve">Elle est déjà présente dans la v2.0. Il faut l’adapter à la politique précise de l’éditeur visé, l’IA ayant contribué de façon significative à la rédaction. Certains éditeurs refusent les textes rédigés par une IA : ce point doit être clarifié</w:t>
      </w:r>
      <w:r>
        <w:t xml:space="preserve"> </w:t>
      </w:r>
      <w:r>
        <w:rPr>
          <w:bCs/>
          <w:b/>
        </w:rPr>
        <w:t xml:space="preserve">avant</w:t>
      </w:r>
      <w:r>
        <w:t xml:space="preserve"> </w:t>
      </w:r>
      <w:r>
        <w:t xml:space="preserve">tout envoi.</w:t>
      </w:r>
    </w:p>
    <w:bookmarkEnd w:id="76"/>
    <w:bookmarkEnd w:id="77"/>
    <w:bookmarkStart w:id="85" w:name="X729a0bbf358af7fe65457d349dcb4e0f53f372a"/>
    <w:p>
      <w:pPr>
        <w:pStyle w:val="Heading1"/>
      </w:pPr>
      <w:r>
        <w:t xml:space="preserve">Projet de proposition éditoriale (brouillon à adapter à l’éditeur visé)</w:t>
      </w:r>
    </w:p>
    <w:bookmarkStart w:id="78" w:name="titre-de-travail"/>
    <w:p>
      <w:pPr>
        <w:pStyle w:val="Heading2"/>
      </w:pPr>
      <w:r>
        <w:t xml:space="preserve">Titre de travail</w:t>
      </w:r>
    </w:p>
    <w:p>
      <w:pPr>
        <w:pStyle w:val="FirstParagraph"/>
      </w:pPr>
      <w:r>
        <w:rPr>
          <w:iCs/>
          <w:i/>
        </w:rPr>
        <w:t xml:space="preserve">Épitaphes chrétiennes datées de Rome (340–403). Transmission numérique, chronologie et formulaire d’un corpus consulaire</w:t>
      </w:r>
    </w:p>
    <w:bookmarkEnd w:id="78"/>
    <w:bookmarkStart w:id="79" w:name="auteur"/>
    <w:p>
      <w:pPr>
        <w:pStyle w:val="Heading2"/>
      </w:pPr>
      <w:r>
        <w:t xml:space="preserve">Auteur</w:t>
      </w:r>
    </w:p>
    <w:p>
      <w:pPr>
        <w:pStyle w:val="FirstParagraph"/>
      </w:pPr>
      <w:r>
        <w:t xml:space="preserve">Alexis Angel Martini (Brive-la-Gaillarde).</w:t>
      </w:r>
    </w:p>
    <w:bookmarkEnd w:id="79"/>
    <w:bookmarkStart w:id="80" w:name="résumé-200-mots"/>
    <w:p>
      <w:pPr>
        <w:pStyle w:val="Heading2"/>
      </w:pPr>
      <w:r>
        <w:t xml:space="preserve">Résumé (≈ 200 mots)</w:t>
      </w:r>
    </w:p>
    <w:p>
      <w:pPr>
        <w:pStyle w:val="FirstParagraph"/>
      </w:pPr>
      <w:r>
        <w:t xml:space="preserve">L’ouvrage étudie 478 notices d’épitaphes chrétiennes de Rome datées des années 340 à 403. Elles ont été extraites de l’Epigraphik-Datenbank Clauss/Slaby (EDCS) puis confrontées à l’Epigraphic Database Bari (EDB). Après élimination des doublons, fusion de deux fragments et exclusion d’une notice datée de 461/482, le corpus compte 473 textes distincts. Il ne s’agit pas d’une nouvelle édition : les textes restent des lectures secondaires dont le statut est indiqué notice par notice. L’ouvrage apporte trois choses.</w:t>
      </w:r>
    </w:p>
    <w:p>
      <w:pPr>
        <w:numPr>
          <w:ilvl w:val="0"/>
          <w:numId w:val="1035"/>
        </w:numPr>
        <w:pStyle w:val="Compact"/>
      </w:pPr>
      <w:r>
        <w:rPr>
          <w:bCs/>
          <w:b/>
        </w:rPr>
        <w:t xml:space="preserve">Une étude critique de la transmission numérique.</w:t>
      </w:r>
      <w:r>
        <w:t xml:space="preserve"> </w:t>
      </w:r>
      <w:r>
        <w:t xml:space="preserve">La comparaison EDCS/EDB fait apparaître des lignes omises, dont des formules consulaires, des parties grecques absentes, des signes chrétiens non transmis et des restitutions divergentes. Ces écarts modifient la datation et l’interprétation religieuse de plusieurs textes.</w:t>
      </w:r>
    </w:p>
    <w:p>
      <w:pPr>
        <w:numPr>
          <w:ilvl w:val="0"/>
          <w:numId w:val="1035"/>
        </w:numPr>
        <w:pStyle w:val="Compact"/>
      </w:pPr>
      <w:r>
        <w:rPr>
          <w:bCs/>
          <w:b/>
        </w:rPr>
        <w:t xml:space="preserve">Un contrôle systématique de la chronologie.</w:t>
      </w:r>
      <w:r>
        <w:t xml:space="preserve"> </w:t>
      </w:r>
      <w:r>
        <w:t xml:space="preserve">Consuls latins et grecs, post-consulats, jours de la semaine, âge de la lune, cohérence entre âge et dates.</w:t>
      </w:r>
    </w:p>
    <w:p>
      <w:pPr>
        <w:numPr>
          <w:ilvl w:val="0"/>
          <w:numId w:val="1035"/>
        </w:numPr>
        <w:pStyle w:val="Compact"/>
      </w:pPr>
      <w:r>
        <w:rPr>
          <w:bCs/>
          <w:b/>
        </w:rPr>
        <w:t xml:space="preserve">Une mesure du formulaire et du vocabulaire religieux</w:t>
      </w:r>
      <w:r>
        <w:t xml:space="preserve"> </w:t>
      </w:r>
      <w:r>
        <w:t xml:space="preserve">rapportée à des dénominateurs explicites, avec ou sans restitutions, qui distingue le mot gravé, le signe figuré et l’interprétation.</w:t>
      </w:r>
    </w:p>
    <w:p>
      <w:pPr>
        <w:pStyle w:val="FirstParagraph"/>
      </w:pPr>
      <w:r>
        <w:t xml:space="preserve">Base de données, scripts et registres d’anomalies et de consultations accompagnent le volume.</w:t>
      </w:r>
    </w:p>
    <w:bookmarkEnd w:id="80"/>
    <w:bookmarkStart w:id="81" w:name="statut-scientifique-à-déclarer-tel-quel"/>
    <w:p>
      <w:pPr>
        <w:pStyle w:val="Heading2"/>
      </w:pPr>
      <w:r>
        <w:t xml:space="preserve">Statut scientifique (à déclarer tel quel)</w:t>
      </w:r>
    </w:p>
    <w:p>
      <w:pPr>
        <w:numPr>
          <w:ilvl w:val="0"/>
          <w:numId w:val="1036"/>
        </w:numPr>
        <w:pStyle w:val="Compact"/>
      </w:pPr>
      <w:r>
        <w:t xml:space="preserve">Textes : lectures secondaires (EDCS) confrontées à l’EDB. Pas de collation sur l’ICVR imprimée à ce stade, sauf indication contraire.</w:t>
      </w:r>
    </w:p>
    <w:p>
      <w:pPr>
        <w:numPr>
          <w:ilvl w:val="0"/>
          <w:numId w:val="1036"/>
        </w:numPr>
        <w:pStyle w:val="Compact"/>
      </w:pPr>
      <w:r>
        <w:t xml:space="preserve">Usage de l’intelligence artificielle : à déclarer selon la politique de l’éditeur. Voir</w:t>
      </w:r>
      <w:r>
        <w:t xml:space="preserve"> </w:t>
      </w:r>
      <w:r>
        <w:rPr>
          <w:rStyle w:val="VerbatimChar"/>
        </w:rPr>
        <w:t xml:space="preserve">CONSIGNES_EDITEURS.md</w:t>
      </w:r>
      <w:r>
        <w:t xml:space="preserve">.</w:t>
      </w:r>
    </w:p>
    <w:bookmarkEnd w:id="81"/>
    <w:bookmarkStart w:id="82" w:name="public"/>
    <w:p>
      <w:pPr>
        <w:pStyle w:val="Heading2"/>
      </w:pPr>
      <w:r>
        <w:t xml:space="preserve">Public</w:t>
      </w:r>
    </w:p>
    <w:p>
      <w:pPr>
        <w:pStyle w:val="FirstParagraph"/>
      </w:pPr>
      <w:r>
        <w:t xml:space="preserve">Épigraphistes de l’Antiquité tardive, historiens du christianisme ancien et de Rome, spécialistes des humanités numériques en épigraphie.</w:t>
      </w:r>
    </w:p>
    <w:bookmarkEnd w:id="82"/>
    <w:bookmarkStart w:id="83" w:name="Xd288e4f733f28adf34bb4ad45bb2059503cb201"/>
    <w:p>
      <w:pPr>
        <w:pStyle w:val="Heading2"/>
      </w:pPr>
      <w:r>
        <w:t xml:space="preserve">Ouvrages comparables (à compléter après vérification bibliographique)</w:t>
      </w:r>
    </w:p>
    <w:p>
      <w:pPr>
        <w:pStyle w:val="FirstParagraph"/>
      </w:pPr>
      <w:r>
        <w:t xml:space="preserve">ICVR n.s. ; ILCV (Diehl) ; CLRE (Bagnall et al., 1987) ; les publications de l’EDB (Felle, Carletti).</w:t>
      </w:r>
      <w:r>
        <w:t xml:space="preserve"> </w:t>
      </w:r>
      <w:r>
        <w:rPr>
          <w:bCs/>
          <w:b/>
        </w:rPr>
        <w:t xml:space="preserve">Les références précises (titres, années, pages) doivent être vérifiées avant l’envoi.</w:t>
      </w:r>
      <w:r>
        <w:t xml:space="preserve"> </w:t>
      </w:r>
      <w:r>
        <w:t xml:space="preserve">Ce lot n’en a vérifié aucune sur pièces.</w:t>
      </w:r>
    </w:p>
    <w:bookmarkEnd w:id="83"/>
    <w:bookmarkStart w:id="84" w:name="calendrier-proposé"/>
    <w:p>
      <w:pPr>
        <w:pStyle w:val="Heading2"/>
      </w:pPr>
      <w:r>
        <w:t xml:space="preserve">Calendrier proposé</w:t>
      </w:r>
    </w:p>
    <w:p>
      <w:pPr>
        <w:numPr>
          <w:ilvl w:val="0"/>
          <w:numId w:val="1037"/>
        </w:numPr>
        <w:pStyle w:val="Compact"/>
      </w:pPr>
      <w:r>
        <w:t xml:space="preserve">Fin de la collation EDB (478/478).</w:t>
      </w:r>
    </w:p>
    <w:p>
      <w:pPr>
        <w:numPr>
          <w:ilvl w:val="0"/>
          <w:numId w:val="1037"/>
        </w:numPr>
        <w:pStyle w:val="Compact"/>
      </w:pPr>
      <w:r>
        <w:t xml:space="preserve">Vérification sur l’ICVR des écarts substantiels.</w:t>
      </w:r>
    </w:p>
    <w:p>
      <w:pPr>
        <w:numPr>
          <w:ilvl w:val="0"/>
          <w:numId w:val="1037"/>
        </w:numPr>
        <w:pStyle w:val="Compact"/>
      </w:pPr>
      <w:r>
        <w:t xml:space="preserve">Réécriture de l’état de la recherche.</w:t>
      </w:r>
    </w:p>
    <w:p>
      <w:pPr>
        <w:numPr>
          <w:ilvl w:val="0"/>
          <w:numId w:val="1037"/>
        </w:numPr>
        <w:pStyle w:val="Compact"/>
      </w:pPr>
      <w:r>
        <w:t xml:space="preserve">Envoi.</w:t>
      </w:r>
    </w:p>
    <w:bookmarkEnd w:id="84"/>
    <w:bookmarkEnd w:id="85"/>
    <w:bookmarkStart w:id="91" w:name="journal-des-modifications"/>
    <w:p>
      <w:pPr>
        <w:pStyle w:val="Heading1"/>
      </w:pPr>
      <w:r>
        <w:t xml:space="preserve">Journal des modifications</w:t>
      </w:r>
    </w:p>
    <w:p>
      <w:pPr>
        <w:pStyle w:val="FirstParagraph"/>
      </w:pPr>
      <w:r>
        <w:t xml:space="preserve">Les originaux ne sont jamais modifiés (</w:t>
      </w:r>
      <w:r>
        <w:rPr>
          <w:rStyle w:val="VerbatimChar"/>
        </w:rPr>
        <w:t xml:space="preserve">00_originaux/</w:t>
      </w:r>
      <w:r>
        <w:t xml:space="preserve">, empreintes dans</w:t>
      </w:r>
      <w:r>
        <w:t xml:space="preserve"> </w:t>
      </w:r>
      <w:r>
        <w:rPr>
          <w:rStyle w:val="VerbatimChar"/>
        </w:rPr>
        <w:t xml:space="preserve">SHA256SUMS</w:t>
      </w:r>
      <w:r>
        <w:t xml:space="preserve">). Toute correction est proposée dans un fichier dérivé et justifiée dans</w:t>
      </w:r>
      <w:r>
        <w:t xml:space="preserve"> </w:t>
      </w:r>
      <w:r>
        <w:rPr>
          <w:rStyle w:val="VerbatimChar"/>
        </w:rPr>
        <w:t xml:space="preserve">03_dossiers_anomalies/</w:t>
      </w:r>
      <w:r>
        <w:t xml:space="preserve">.</w:t>
      </w:r>
    </w:p>
    <w:bookmarkStart w:id="86" w:name="lot-1"/>
    <w:p>
      <w:pPr>
        <w:pStyle w:val="Heading2"/>
      </w:pPr>
      <w:r>
        <w:t xml:space="preserve">2026-10-14 — lot 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Objet</w:t>
            </w:r>
          </w:p>
        </w:tc>
        <w:tc>
          <w:tcPr/>
          <w:p>
            <w:pPr>
              <w:pStyle w:val="Compact"/>
              <w:jc w:val="left"/>
            </w:pPr>
            <w:r>
              <w:t xml:space="preserve">Action</w:t>
            </w:r>
          </w:p>
        </w:tc>
        <w:tc>
          <w:tcPr/>
          <w:p>
            <w:pPr>
              <w:pStyle w:val="Compact"/>
              <w:jc w:val="left"/>
            </w:pPr>
            <w:r>
              <w:t xml:space="preserve">Fichier</w:t>
            </w:r>
          </w:p>
        </w:tc>
        <w:tc>
          <w:tcPr/>
          <w:p>
            <w:pPr>
              <w:pStyle w:val="Compact"/>
              <w:jc w:val="left"/>
            </w:pPr>
            <w:r>
              <w:t xml:space="preserve">Preuve</w:t>
            </w:r>
          </w:p>
        </w:tc>
      </w:tr>
      <w:tr>
        <w:tc>
          <w:tcPr/>
          <w:p>
            <w:pPr>
              <w:pStyle w:val="Compact"/>
              <w:jc w:val="left"/>
            </w:pPr>
            <w:r>
              <w:t xml:space="preserve">1</w:t>
            </w:r>
          </w:p>
        </w:tc>
        <w:tc>
          <w:tcPr/>
          <w:p>
            <w:pPr>
              <w:pStyle w:val="Compact"/>
              <w:jc w:val="left"/>
            </w:pPr>
            <w:r>
              <w:t xml:space="preserve">Originaux v2.0</w:t>
            </w:r>
          </w:p>
        </w:tc>
        <w:tc>
          <w:tcPr/>
          <w:p>
            <w:pPr>
              <w:pStyle w:val="Compact"/>
              <w:jc w:val="left"/>
            </w:pPr>
            <w:r>
              <w:t xml:space="preserve">copie et empreintes SHA-256</w:t>
            </w:r>
          </w:p>
        </w:tc>
        <w:tc>
          <w:tcPr/>
          <w:p>
            <w:pPr>
              <w:pStyle w:val="Compact"/>
              <w:jc w:val="left"/>
            </w:pPr>
            <w:r>
              <w:rPr>
                <w:rStyle w:val="VerbatimChar"/>
              </w:rPr>
              <w:t xml:space="preserve">00_originaux/</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Base v2.0</w:t>
            </w:r>
          </w:p>
        </w:tc>
        <w:tc>
          <w:tcPr/>
          <w:p>
            <w:pPr>
              <w:pStyle w:val="Compact"/>
              <w:jc w:val="left"/>
            </w:pPr>
            <w:r>
              <w:t xml:space="preserve">export de 14 feuilles en CSV (lignes vides retirées)</w:t>
            </w:r>
          </w:p>
        </w:tc>
        <w:tc>
          <w:tcPr/>
          <w:p>
            <w:pPr>
              <w:pStyle w:val="Compact"/>
              <w:jc w:val="left"/>
            </w:pPr>
            <w:r>
              <w:rPr>
                <w:rStyle w:val="VerbatimChar"/>
              </w:rPr>
              <w:t xml:space="preserve">01_donnees/base_v2_csv/</w:t>
            </w:r>
          </w:p>
        </w:tc>
        <w:tc>
          <w:tcPr/>
          <w:p>
            <w:pPr>
              <w:pStyle w:val="Compact"/>
              <w:jc w:val="left"/>
            </w:pPr>
            <w:r>
              <w:t xml:space="preserve">fichier xlsx original</w:t>
            </w:r>
          </w:p>
        </w:tc>
      </w:tr>
      <w:tr>
        <w:tc>
          <w:tcPr/>
          <w:p>
            <w:pPr>
              <w:pStyle w:val="Compact"/>
              <w:jc w:val="left"/>
            </w:pPr>
            <w:r>
              <w:t xml:space="preserve">3</w:t>
            </w:r>
          </w:p>
        </w:tc>
        <w:tc>
          <w:tcPr/>
          <w:p>
            <w:pPr>
              <w:pStyle w:val="Compact"/>
              <w:jc w:val="left"/>
            </w:pPr>
            <w:r>
              <w:t xml:space="preserve">Monographie v2.0</w:t>
            </w:r>
          </w:p>
        </w:tc>
        <w:tc>
          <w:tcPr/>
          <w:p>
            <w:pPr>
              <w:pStyle w:val="Compact"/>
              <w:jc w:val="left"/>
            </w:pPr>
            <w:r>
              <w:t xml:space="preserve">extraction du texte (</w:t>
            </w:r>
            <w:r>
              <w:rPr>
                <w:rStyle w:val="VerbatimChar"/>
              </w:rPr>
              <w:t xml:space="preserve">pdftotext -layout</w:t>
            </w:r>
            <w:r>
              <w:t xml:space="preserve">)</w:t>
            </w:r>
          </w:p>
        </w:tc>
        <w:tc>
          <w:tcPr/>
          <w:p>
            <w:pPr>
              <w:pStyle w:val="Compact"/>
              <w:jc w:val="left"/>
            </w:pPr>
            <w:r>
              <w:rPr>
                <w:rStyle w:val="VerbatimChar"/>
              </w:rPr>
              <w:t xml:space="preserve">01_donnees/monographie_v2.0_texte_extrait.txt</w:t>
            </w:r>
          </w:p>
        </w:tc>
        <w:tc>
          <w:tcPr/>
          <w:p>
            <w:pPr>
              <w:pStyle w:val="Compact"/>
              <w:jc w:val="left"/>
            </w:pPr>
            <w:r>
              <w:t xml:space="preserve">PDF original</w:t>
            </w:r>
          </w:p>
        </w:tc>
      </w:tr>
      <w:tr>
        <w:tc>
          <w:tcPr/>
          <w:p>
            <w:pPr>
              <w:pStyle w:val="Compact"/>
              <w:jc w:val="left"/>
            </w:pPr>
            <w:r>
              <w:t xml:space="preserve">4</w:t>
            </w:r>
          </w:p>
        </w:tc>
        <w:tc>
          <w:tcPr/>
          <w:p>
            <w:pPr>
              <w:pStyle w:val="Compact"/>
              <w:jc w:val="left"/>
            </w:pPr>
            <w:r>
              <w:t xml:space="preserve">Collation EDCS/EDB</w:t>
            </w:r>
          </w:p>
        </w:tc>
        <w:tc>
          <w:tcPr/>
          <w:p>
            <w:pPr>
              <w:pStyle w:val="Compact"/>
              <w:jc w:val="left"/>
            </w:pPr>
            <w:r>
              <w:t xml:space="preserve">295/478 notices appariées ; statuts par notice</w:t>
            </w:r>
          </w:p>
        </w:tc>
        <w:tc>
          <w:tcPr/>
          <w:p>
            <w:pPr>
              <w:pStyle w:val="Compact"/>
              <w:jc w:val="left"/>
            </w:pPr>
            <w:r>
              <w:rPr>
                <w:rStyle w:val="VerbatimChar"/>
              </w:rPr>
              <w:t xml:space="preserve">02_verifications/collation_edcs_edb.csv</w:t>
            </w:r>
          </w:p>
        </w:tc>
        <w:tc>
          <w:tcPr/>
          <w:p>
            <w:pPr>
              <w:pStyle w:val="Compact"/>
              <w:jc w:val="left"/>
            </w:pPr>
            <w:r>
              <w:rPr>
                <w:rStyle w:val="VerbatimChar"/>
              </w:rPr>
              <w:t xml:space="preserve">02_verifications/edb/brut/*.json</w:t>
            </w:r>
          </w:p>
        </w:tc>
      </w:tr>
      <w:tr>
        <w:tc>
          <w:tcPr/>
          <w:p>
            <w:pPr>
              <w:pStyle w:val="Compact"/>
              <w:jc w:val="left"/>
            </w:pPr>
            <w:r>
              <w:t xml:space="preserve">5</w:t>
            </w:r>
          </w:p>
        </w:tc>
        <w:tc>
          <w:tcPr/>
          <w:p>
            <w:pPr>
              <w:pStyle w:val="Compact"/>
              <w:jc w:val="left"/>
            </w:pPr>
            <w:r>
              <w:t xml:space="preserve">A006 (329/336)</w:t>
            </w:r>
          </w:p>
        </w:tc>
        <w:tc>
          <w:tcPr/>
          <w:p>
            <w:pPr>
              <w:pStyle w:val="Compact"/>
              <w:jc w:val="left"/>
            </w:pPr>
            <w:r>
              <w:t xml:space="preserve">doublon</w:t>
            </w:r>
            <w:r>
              <w:t xml:space="preserve"> </w:t>
            </w:r>
            <w:r>
              <w:rPr>
                <w:bCs/>
                <w:b/>
              </w:rPr>
              <w:t xml:space="preserve">certain</w:t>
            </w:r>
            <w:r>
              <w:t xml:space="preserve">, établi par la bibliographie EDB10126 ; conservation à Ostie ; âge</w:t>
            </w:r>
            <w:r>
              <w:t xml:space="preserve"> </w:t>
            </w:r>
            <w:r>
              <w:rPr>
                <w:rStyle w:val="VerbatimChar"/>
              </w:rPr>
              <w:t xml:space="preserve">L[X]V</w:t>
            </w:r>
            <w:r>
              <w:t xml:space="preserve"> </w:t>
            </w:r>
            <w:r>
              <w:t xml:space="preserve">partiellement restitué</w:t>
            </w:r>
          </w:p>
        </w:tc>
        <w:tc>
          <w:tcPr/>
          <w:p>
            <w:pPr>
              <w:pStyle w:val="Compact"/>
              <w:jc w:val="left"/>
            </w:pPr>
            <w:r>
              <w:t xml:space="preserve">dossiers § A</w:t>
            </w:r>
          </w:p>
        </w:tc>
        <w:tc>
          <w:tcPr/>
          <w:p>
            <w:pPr>
              <w:pStyle w:val="Compact"/>
              <w:jc w:val="left"/>
            </w:pPr>
            <w:r>
              <w:t xml:space="preserve">EDB10126</w:t>
            </w:r>
          </w:p>
        </w:tc>
      </w:tr>
      <w:tr>
        <w:tc>
          <w:tcPr/>
          <w:p>
            <w:pPr>
              <w:pStyle w:val="Compact"/>
              <w:jc w:val="left"/>
            </w:pPr>
            <w:r>
              <w:t xml:space="preserve">6</w:t>
            </w:r>
          </w:p>
        </w:tc>
        <w:tc>
          <w:tcPr/>
          <w:p>
            <w:pPr>
              <w:pStyle w:val="Compact"/>
              <w:jc w:val="left"/>
            </w:pPr>
            <w:r>
              <w:t xml:space="preserve">A007 (106/120)</w:t>
            </w:r>
          </w:p>
        </w:tc>
        <w:tc>
          <w:tcPr/>
          <w:p>
            <w:pPr>
              <w:pStyle w:val="Compact"/>
              <w:jc w:val="left"/>
            </w:pPr>
            <w:r>
              <w:t xml:space="preserve">doublon</w:t>
            </w:r>
            <w:r>
              <w:t xml:space="preserve"> </w:t>
            </w:r>
            <w:r>
              <w:rPr>
                <w:bCs/>
                <w:b/>
              </w:rPr>
              <w:t xml:space="preserve">très probable</w:t>
            </w:r>
            <w:r>
              <w:t xml:space="preserve"> </w:t>
            </w:r>
            <w:r>
              <w:t xml:space="preserve">; fusion proposée dans le n° 120 ; variante</w:t>
            </w:r>
            <w:r>
              <w:t xml:space="preserve"> </w:t>
            </w:r>
            <w:r>
              <w:rPr>
                <w:iCs/>
                <w:i/>
              </w:rPr>
              <w:t xml:space="preserve">c(iu)esq(it)</w:t>
            </w:r>
            <w:r>
              <w:t xml:space="preserve">/</w:t>
            </w:r>
            <w:r>
              <w:rPr>
                <w:iCs/>
                <w:i/>
              </w:rPr>
              <w:t xml:space="preserve">recessit</w:t>
            </w:r>
            <w:r>
              <w:t xml:space="preserve"> </w:t>
            </w:r>
            <w:r>
              <w:t xml:space="preserve">en apparat</w:t>
            </w:r>
          </w:p>
        </w:tc>
        <w:tc>
          <w:tcPr/>
          <w:p>
            <w:pPr>
              <w:pStyle w:val="Compact"/>
              <w:jc w:val="left"/>
            </w:pPr>
            <w:r>
              <w:t xml:space="preserve">dossiers § A</w:t>
            </w:r>
          </w:p>
        </w:tc>
        <w:tc>
          <w:tcPr/>
          <w:p>
            <w:pPr>
              <w:pStyle w:val="Compact"/>
              <w:jc w:val="left"/>
            </w:pPr>
            <w:r>
              <w:t xml:space="preserve">EDB13167</w:t>
            </w:r>
          </w:p>
        </w:tc>
      </w:tr>
      <w:tr>
        <w:tc>
          <w:tcPr/>
          <w:p>
            <w:pPr>
              <w:pStyle w:val="Compact"/>
              <w:jc w:val="left"/>
            </w:pPr>
            <w:r>
              <w:t xml:space="preserve">7</w:t>
            </w:r>
          </w:p>
        </w:tc>
        <w:tc>
          <w:tcPr/>
          <w:p>
            <w:pPr>
              <w:pStyle w:val="Compact"/>
              <w:jc w:val="left"/>
            </w:pPr>
            <w:r>
              <w:t xml:space="preserve">A008 (282/288)</w:t>
            </w:r>
          </w:p>
        </w:tc>
        <w:tc>
          <w:tcPr/>
          <w:p>
            <w:pPr>
              <w:pStyle w:val="Compact"/>
              <w:jc w:val="left"/>
            </w:pPr>
            <w:r>
              <w:t xml:space="preserve">doublon</w:t>
            </w:r>
            <w:r>
              <w:t xml:space="preserve"> </w:t>
            </w:r>
            <w:r>
              <w:rPr>
                <w:bCs/>
                <w:b/>
              </w:rPr>
              <w:t xml:space="preserve">très probable</w:t>
            </w:r>
            <w:r>
              <w:t xml:space="preserve"> </w:t>
            </w:r>
            <w:r>
              <w:t xml:space="preserve">; fusion proposée dans le n° 288</w:t>
            </w:r>
          </w:p>
        </w:tc>
        <w:tc>
          <w:tcPr/>
          <w:p>
            <w:pPr>
              <w:pStyle w:val="Compact"/>
              <w:jc w:val="left"/>
            </w:pPr>
            <w:r>
              <w:t xml:space="preserve">dossiers § A</w:t>
            </w:r>
          </w:p>
        </w:tc>
        <w:tc>
          <w:tcPr/>
          <w:p>
            <w:pPr>
              <w:pStyle w:val="Compact"/>
              <w:jc w:val="left"/>
            </w:pPr>
            <w:r>
              <w:t xml:space="preserve">EDB11278</w:t>
            </w:r>
          </w:p>
        </w:tc>
      </w:tr>
      <w:tr>
        <w:tc>
          <w:tcPr/>
          <w:p>
            <w:pPr>
              <w:pStyle w:val="Compact"/>
              <w:jc w:val="left"/>
            </w:pPr>
            <w:r>
              <w:t xml:space="preserve">8</w:t>
            </w:r>
          </w:p>
        </w:tc>
        <w:tc>
          <w:tcPr/>
          <w:p>
            <w:pPr>
              <w:pStyle w:val="Compact"/>
              <w:jc w:val="left"/>
            </w:pPr>
            <w:r>
              <w:t xml:space="preserve">A014 (439)</w:t>
            </w:r>
          </w:p>
        </w:tc>
        <w:tc>
          <w:tcPr/>
          <w:p>
            <w:pPr>
              <w:pStyle w:val="Compact"/>
              <w:jc w:val="left"/>
            </w:pPr>
            <w:r>
              <w:t xml:space="preserve">provenance</w:t>
            </w:r>
            <w:r>
              <w:t xml:space="preserve"> </w:t>
            </w:r>
            <w:r>
              <w:rPr>
                <w:bCs/>
                <w:b/>
              </w:rPr>
              <w:t xml:space="preserve">non établie</w:t>
            </w:r>
            <w:r>
              <w:t xml:space="preserve"> </w:t>
            </w:r>
            <w:r>
              <w:t xml:space="preserve">; exclusion des analyses topographiques romaines ; variantes de lecture relevées</w:t>
            </w:r>
          </w:p>
        </w:tc>
        <w:tc>
          <w:tcPr/>
          <w:p>
            <w:pPr>
              <w:pStyle w:val="Compact"/>
              <w:jc w:val="left"/>
            </w:pPr>
            <w:r>
              <w:t xml:space="preserve">dossiers § B</w:t>
            </w:r>
          </w:p>
        </w:tc>
        <w:tc>
          <w:tcPr/>
          <w:p>
            <w:pPr>
              <w:pStyle w:val="Compact"/>
              <w:jc w:val="left"/>
            </w:pPr>
            <w:r>
              <w:t xml:space="preserve">EDB33162</w:t>
            </w:r>
          </w:p>
        </w:tc>
      </w:tr>
      <w:tr>
        <w:tc>
          <w:tcPr/>
          <w:p>
            <w:pPr>
              <w:pStyle w:val="Compact"/>
              <w:jc w:val="left"/>
            </w:pPr>
            <w:r>
              <w:t xml:space="preserve">9</w:t>
            </w:r>
          </w:p>
        </w:tc>
        <w:tc>
          <w:tcPr/>
          <w:p>
            <w:pPr>
              <w:pStyle w:val="Compact"/>
              <w:jc w:val="left"/>
            </w:pPr>
            <w:r>
              <w:t xml:space="preserve">n° 38</w:t>
            </w:r>
          </w:p>
        </w:tc>
        <w:tc>
          <w:tcPr/>
          <w:p>
            <w:pPr>
              <w:pStyle w:val="Compact"/>
              <w:jc w:val="left"/>
            </w:pPr>
            <w:r>
              <w:rPr>
                <w:iCs/>
                <w:i/>
              </w:rPr>
              <w:t xml:space="preserve">Chr(isti)</w:t>
            </w:r>
            <w:r>
              <w:t xml:space="preserve"> </w:t>
            </w:r>
            <w:r>
              <w:t xml:space="preserve">(EDCS) =</w:t>
            </w:r>
            <w:r>
              <w:t xml:space="preserve"> </w:t>
            </w:r>
            <w:r>
              <w:rPr>
                <w:bCs/>
                <w:b/>
              </w:rPr>
              <w:t xml:space="preserve">chrisme</w:t>
            </w:r>
            <w:r>
              <w:t xml:space="preserve"> </w:t>
            </w:r>
            <w:r>
              <w:t xml:space="preserve">(EDB) ; traduction et codage religieux à corriger</w:t>
            </w:r>
          </w:p>
        </w:tc>
        <w:tc>
          <w:tcPr/>
          <w:p>
            <w:pPr>
              <w:pStyle w:val="Compact"/>
              <w:jc w:val="left"/>
            </w:pPr>
            <w:r>
              <w:t xml:space="preserve">dossiers § C</w:t>
            </w:r>
          </w:p>
        </w:tc>
        <w:tc>
          <w:tcPr/>
          <w:p>
            <w:pPr>
              <w:pStyle w:val="Compact"/>
              <w:jc w:val="left"/>
            </w:pPr>
            <w:r>
              <w:t xml:space="preserve">EDB17657</w:t>
            </w:r>
          </w:p>
        </w:tc>
      </w:tr>
      <w:tr>
        <w:tc>
          <w:tcPr/>
          <w:p>
            <w:pPr>
              <w:pStyle w:val="Compact"/>
              <w:jc w:val="left"/>
            </w:pPr>
            <w:r>
              <w:t xml:space="preserve">10</w:t>
            </w:r>
          </w:p>
        </w:tc>
        <w:tc>
          <w:tcPr/>
          <w:p>
            <w:pPr>
              <w:pStyle w:val="Compact"/>
              <w:jc w:val="left"/>
            </w:pPr>
            <w:r>
              <w:t xml:space="preserve">n° 474</w:t>
            </w:r>
          </w:p>
        </w:tc>
        <w:tc>
          <w:tcPr/>
          <w:p>
            <w:pPr>
              <w:pStyle w:val="Compact"/>
              <w:jc w:val="left"/>
            </w:pPr>
            <w:r>
              <w:t xml:space="preserve">lecture identique dans les deux bases ; séparation lecture / portée dogmatique / date</w:t>
            </w:r>
          </w:p>
        </w:tc>
        <w:tc>
          <w:tcPr/>
          <w:p>
            <w:pPr>
              <w:pStyle w:val="Compact"/>
              <w:jc w:val="left"/>
            </w:pPr>
            <w:r>
              <w:t xml:space="preserve">dossiers § C</w:t>
            </w:r>
          </w:p>
        </w:tc>
        <w:tc>
          <w:tcPr/>
          <w:p>
            <w:pPr>
              <w:pStyle w:val="Compact"/>
              <w:jc w:val="left"/>
            </w:pPr>
            <w:r>
              <w:t xml:space="preserve">EDB35329</w:t>
            </w:r>
          </w:p>
        </w:tc>
      </w:tr>
      <w:tr>
        <w:tc>
          <w:tcPr/>
          <w:p>
            <w:pPr>
              <w:pStyle w:val="Compact"/>
              <w:jc w:val="left"/>
            </w:pPr>
            <w:r>
              <w:t xml:space="preserve">11</w:t>
            </w:r>
          </w:p>
        </w:tc>
        <w:tc>
          <w:tcPr/>
          <w:p>
            <w:pPr>
              <w:pStyle w:val="Compact"/>
              <w:jc w:val="left"/>
            </w:pPr>
            <w:r>
              <w:t xml:space="preserve">A016</w:t>
            </w:r>
          </w:p>
        </w:tc>
        <w:tc>
          <w:tcPr/>
          <w:p>
            <w:pPr>
              <w:pStyle w:val="Compact"/>
              <w:jc w:val="left"/>
            </w:pPr>
            <w:r>
              <w:t xml:space="preserve">8 notices sur 16 reçoivent de l’EDB une formule consulaire absente du texte EDCS ; 2 restent conjecturales</w:t>
            </w:r>
          </w:p>
        </w:tc>
        <w:tc>
          <w:tcPr/>
          <w:p>
            <w:pPr>
              <w:pStyle w:val="Compact"/>
              <w:jc w:val="left"/>
            </w:pPr>
            <w:r>
              <w:t xml:space="preserve">dossiers § D</w:t>
            </w:r>
          </w:p>
        </w:tc>
        <w:tc>
          <w:tcPr/>
          <w:p>
            <w:pPr>
              <w:pStyle w:val="Compact"/>
              <w:jc w:val="left"/>
            </w:pPr>
            <w:r>
              <w:t xml:space="preserve">fiches EDB citées</w:t>
            </w:r>
          </w:p>
        </w:tc>
      </w:tr>
      <w:tr>
        <w:tc>
          <w:tcPr/>
          <w:p>
            <w:pPr>
              <w:pStyle w:val="Compact"/>
              <w:jc w:val="left"/>
            </w:pPr>
            <w:r>
              <w:t xml:space="preserve">12</w:t>
            </w:r>
          </w:p>
        </w:tc>
        <w:tc>
          <w:tcPr/>
          <w:p>
            <w:pPr>
              <w:pStyle w:val="Compact"/>
              <w:jc w:val="left"/>
            </w:pPr>
            <w:r>
              <w:t xml:space="preserve">Dates</w:t>
            </w:r>
          </w:p>
        </w:tc>
        <w:tc>
          <w:tcPr/>
          <w:p>
            <w:pPr>
              <w:pStyle w:val="Compact"/>
              <w:jc w:val="left"/>
            </w:pPr>
            <w:r>
              <w:t xml:space="preserve">4 divergences de date EDB/v2.0 signalées, non résolues</w:t>
            </w:r>
          </w:p>
        </w:tc>
        <w:tc>
          <w:tcPr/>
          <w:p>
            <w:pPr>
              <w:pStyle w:val="Compact"/>
              <w:jc w:val="left"/>
            </w:pPr>
            <w:r>
              <w:t xml:space="preserve">dossiers § D</w:t>
            </w:r>
          </w:p>
        </w:tc>
        <w:tc>
          <w:tcPr/>
          <w:p>
            <w:pPr>
              <w:pStyle w:val="Compact"/>
              <w:jc w:val="left"/>
            </w:pPr>
            <w:r>
              <w:t xml:space="preserve">fiches EDB citées</w:t>
            </w:r>
          </w:p>
        </w:tc>
      </w:tr>
      <w:tr>
        <w:tc>
          <w:tcPr/>
          <w:p>
            <w:pPr>
              <w:pStyle w:val="Compact"/>
              <w:jc w:val="left"/>
            </w:pPr>
            <w:r>
              <w:t xml:space="preserve">13</w:t>
            </w:r>
          </w:p>
        </w:tc>
        <w:tc>
          <w:tcPr/>
          <w:p>
            <w:pPr>
              <w:pStyle w:val="Compact"/>
              <w:jc w:val="left"/>
            </w:pPr>
            <w:r>
              <w:t xml:space="preserve">Signes chrétiens</w:t>
            </w:r>
          </w:p>
        </w:tc>
        <w:tc>
          <w:tcPr/>
          <w:p>
            <w:pPr>
              <w:pStyle w:val="Compact"/>
              <w:jc w:val="left"/>
            </w:pPr>
            <w:r>
              <w:t xml:space="preserve">34 chrismes ou croix sur 295 notices collationnées, invisibles dans l’EDCS ; nouvelle catégorie de codage proposée</w:t>
            </w:r>
          </w:p>
        </w:tc>
        <w:tc>
          <w:tcPr/>
          <w:p>
            <w:pPr>
              <w:pStyle w:val="Compact"/>
              <w:jc w:val="left"/>
            </w:pPr>
            <w:r>
              <w:t xml:space="preserve">dossiers § E</w:t>
            </w:r>
          </w:p>
        </w:tc>
        <w:tc>
          <w:tcPr/>
          <w:p>
            <w:pPr>
              <w:pStyle w:val="Compact"/>
              <w:jc w:val="left"/>
            </w:pPr>
            <w:r>
              <w:rPr>
                <w:rStyle w:val="VerbatimChar"/>
              </w:rPr>
              <w:t xml:space="preserve">collation_edcs_edb.csv</w:t>
            </w:r>
          </w:p>
        </w:tc>
      </w:tr>
      <w:tr>
        <w:tc>
          <w:tcPr/>
          <w:p>
            <w:pPr>
              <w:pStyle w:val="Compact"/>
              <w:jc w:val="left"/>
            </w:pPr>
            <w:r>
              <w:t xml:space="preserve">14</w:t>
            </w:r>
          </w:p>
        </w:tc>
        <w:tc>
          <w:tcPr/>
          <w:p>
            <w:pPr>
              <w:pStyle w:val="Compact"/>
              <w:jc w:val="left"/>
            </w:pPr>
            <w:r>
              <w:t xml:space="preserve">Document « État critique » (Drive)</w:t>
            </w:r>
          </w:p>
        </w:tc>
        <w:tc>
          <w:tcPr/>
          <w:p>
            <w:pPr>
              <w:pStyle w:val="Compact"/>
              <w:jc w:val="left"/>
            </w:pPr>
            <w:r>
              <w:t xml:space="preserve">audité : chiffres et citations incompatibles avec la base ;</w:t>
            </w:r>
            <w:r>
              <w:t xml:space="preserve"> </w:t>
            </w:r>
            <w:r>
              <w:rPr>
                <w:bCs/>
                <w:b/>
              </w:rPr>
              <w:t xml:space="preserve">à ne pas utiliser</w:t>
            </w:r>
          </w:p>
        </w:tc>
        <w:tc>
          <w:tcPr/>
          <w:p>
            <w:pPr>
              <w:pStyle w:val="Compact"/>
              <w:jc w:val="left"/>
            </w:pPr>
            <w:r>
              <w:rPr>
                <w:rStyle w:val="VerbatimChar"/>
              </w:rPr>
              <w:t xml:space="preserve">03_dossiers_anomalies/AUDIT_ETAT_CRITIQUE.md</w:t>
            </w:r>
          </w:p>
        </w:tc>
        <w:tc>
          <w:tcPr/>
          <w:p>
            <w:pPr>
              <w:pStyle w:val="Compact"/>
              <w:jc w:val="left"/>
            </w:pPr>
            <w:r>
              <w:t xml:space="preserve">base v2.0</w:t>
            </w:r>
          </w:p>
        </w:tc>
      </w:tr>
    </w:tbl>
    <w:p>
      <w:pPr>
        <w:pStyle w:val="BodyText"/>
      </w:pPr>
      <w:r>
        <w:rPr>
          <w:bCs/>
          <w:b/>
        </w:rPr>
        <w:t xml:space="preserve">Corrections non appliquées au manuscrit lui-même.</w:t>
      </w:r>
      <w:r>
        <w:t xml:space="preserve"> </w:t>
      </w:r>
      <w:r>
        <w:t xml:space="preserve">Les sources LaTeX de la v2.0 ou de la v3.1 sont absentes : le PDF n’a pas été régénéré. Les corrections sont formulées pour être reportées.</w:t>
      </w:r>
    </w:p>
    <w:bookmarkEnd w:id="86"/>
    <w:bookmarkStart w:id="87" w:name="lot-2-reprise-automatique-0404-utc"/>
    <w:p>
      <w:pPr>
        <w:pStyle w:val="Heading2"/>
      </w:pPr>
      <w:r>
        <w:t xml:space="preserve">2026-10-14 — lot 2 (reprise automatique, 04:04 UTC)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Objet</w:t>
            </w:r>
          </w:p>
        </w:tc>
        <w:tc>
          <w:tcPr/>
          <w:p>
            <w:pPr>
              <w:pStyle w:val="Compact"/>
              <w:jc w:val="left"/>
            </w:pPr>
            <w:r>
              <w:t xml:space="preserve">Action</w:t>
            </w:r>
          </w:p>
        </w:tc>
        <w:tc>
          <w:tcPr/>
          <w:p>
            <w:pPr>
              <w:pStyle w:val="Compact"/>
              <w:jc w:val="left"/>
            </w:pPr>
            <w:r>
              <w:t xml:space="preserve">Fichier</w:t>
            </w:r>
          </w:p>
        </w:tc>
        <w:tc>
          <w:tcPr/>
          <w:p>
            <w:pPr>
              <w:pStyle w:val="Compact"/>
              <w:jc w:val="left"/>
            </w:pPr>
            <w:r>
              <w:t xml:space="preserve">Preuve</w:t>
            </w:r>
          </w:p>
        </w:tc>
      </w:tr>
      <w:tr>
        <w:tc>
          <w:tcPr/>
          <w:p>
            <w:pPr>
              <w:pStyle w:val="Compact"/>
              <w:jc w:val="left"/>
            </w:pPr>
            <w:r>
              <w:t xml:space="preserve">15</w:t>
            </w:r>
          </w:p>
        </w:tc>
        <w:tc>
          <w:tcPr/>
          <w:p>
            <w:pPr>
              <w:pStyle w:val="Compact"/>
              <w:jc w:val="left"/>
            </w:pPr>
            <w:r>
              <w:t xml:space="preserve">Collation EDCS/EDB</w:t>
            </w:r>
          </w:p>
        </w:tc>
        <w:tc>
          <w:tcPr/>
          <w:p>
            <w:pPr>
              <w:pStyle w:val="Compact"/>
              <w:jc w:val="left"/>
            </w:pPr>
            <w:r>
              <w:t xml:space="preserve">435/478 notices appariées (265 concordantes, 133 à examiner, 37 divergentes) ; 21 restent à chercher, 22 sans n° ICUR</w:t>
            </w:r>
          </w:p>
        </w:tc>
        <w:tc>
          <w:tcPr/>
          <w:p>
            <w:pPr>
              <w:pStyle w:val="Compact"/>
              <w:jc w:val="left"/>
            </w:pPr>
            <w:r>
              <w:rPr>
                <w:rStyle w:val="VerbatimChar"/>
              </w:rPr>
              <w:t xml:space="preserve">02_verifications/collation_edcs_edb.csv</w:t>
            </w:r>
          </w:p>
        </w:tc>
        <w:tc>
          <w:tcPr/>
          <w:p>
            <w:pPr>
              <w:pStyle w:val="Compact"/>
              <w:jc w:val="left"/>
            </w:pPr>
            <w:r>
              <w:rPr>
                <w:rStyle w:val="VerbatimChar"/>
              </w:rPr>
              <w:t xml:space="preserve">edb/brut/*.json</w:t>
            </w:r>
          </w:p>
        </w:tc>
      </w:tr>
      <w:tr>
        <w:tc>
          <w:tcPr/>
          <w:p>
            <w:pPr>
              <w:pStyle w:val="Compact"/>
              <w:jc w:val="left"/>
            </w:pPr>
            <w:r>
              <w:t xml:space="preserve">16</w:t>
            </w:r>
          </w:p>
        </w:tc>
        <w:tc>
          <w:tcPr/>
          <w:p>
            <w:pPr>
              <w:pStyle w:val="Compact"/>
              <w:jc w:val="left"/>
            </w:pPr>
            <w:r>
              <w:t xml:space="preserve">A009 (313/314)</w:t>
            </w:r>
          </w:p>
        </w:tc>
        <w:tc>
          <w:tcPr/>
          <w:p>
            <w:pPr>
              <w:pStyle w:val="Compact"/>
              <w:jc w:val="left"/>
            </w:pPr>
            <w:r>
              <w:t xml:space="preserve">une fiche EDB (EDB39579), deux dépositions successives ; année de (b) = consulat</w:t>
            </w:r>
            <w:r>
              <w:t xml:space="preserve"> </w:t>
            </w:r>
            <w:r>
              <w:rPr>
                <w:bCs/>
                <w:b/>
              </w:rPr>
              <w:t xml:space="preserve">restitué</w:t>
            </w:r>
          </w:p>
        </w:tc>
        <w:tc>
          <w:tcPr/>
          <w:p>
            <w:pPr>
              <w:pStyle w:val="Compact"/>
              <w:jc w:val="left"/>
            </w:pPr>
            <w:r>
              <w:t xml:space="preserve">dossiers § A</w:t>
            </w:r>
          </w:p>
        </w:tc>
        <w:tc>
          <w:tcPr/>
          <w:p>
            <w:pPr>
              <w:pStyle w:val="Compact"/>
              <w:jc w:val="left"/>
            </w:pPr>
            <w:r>
              <w:t xml:space="preserve">EDB39579</w:t>
            </w:r>
          </w:p>
        </w:tc>
      </w:tr>
      <w:tr>
        <w:tc>
          <w:tcPr/>
          <w:p>
            <w:pPr>
              <w:pStyle w:val="Compact"/>
              <w:jc w:val="left"/>
            </w:pPr>
            <w:r>
              <w:t xml:space="preserve">17</w:t>
            </w:r>
          </w:p>
        </w:tc>
        <w:tc>
          <w:tcPr/>
          <w:p>
            <w:pPr>
              <w:pStyle w:val="Compact"/>
              <w:jc w:val="left"/>
            </w:pPr>
            <w:r>
              <w:t xml:space="preserve">A010 (393/394)</w:t>
            </w:r>
          </w:p>
        </w:tc>
        <w:tc>
          <w:tcPr/>
          <w:p>
            <w:pPr>
              <w:pStyle w:val="Compact"/>
              <w:jc w:val="left"/>
            </w:pPr>
            <w:r>
              <w:t xml:space="preserve">une fiche EDB (EDB39590) ; l’EDCS restitue davantage que l’EDB ; ne compter qu’une occurrence datée</w:t>
            </w:r>
          </w:p>
        </w:tc>
        <w:tc>
          <w:tcPr/>
          <w:p>
            <w:pPr>
              <w:pStyle w:val="Compact"/>
              <w:jc w:val="left"/>
            </w:pPr>
            <w:r>
              <w:t xml:space="preserve">dossiers § A</w:t>
            </w:r>
          </w:p>
        </w:tc>
        <w:tc>
          <w:tcPr/>
          <w:p>
            <w:pPr>
              <w:pStyle w:val="Compact"/>
              <w:jc w:val="left"/>
            </w:pPr>
            <w:r>
              <w:t xml:space="preserve">EDB39590</w:t>
            </w:r>
          </w:p>
        </w:tc>
      </w:tr>
      <w:tr>
        <w:tc>
          <w:tcPr/>
          <w:p>
            <w:pPr>
              <w:pStyle w:val="Compact"/>
              <w:jc w:val="left"/>
            </w:pPr>
            <w:r>
              <w:t xml:space="preserve">18</w:t>
            </w:r>
          </w:p>
        </w:tc>
        <w:tc>
          <w:tcPr/>
          <w:p>
            <w:pPr>
              <w:pStyle w:val="Compact"/>
              <w:jc w:val="left"/>
            </w:pPr>
            <w:r>
              <w:t xml:space="preserve">Dates</w:t>
            </w:r>
          </w:p>
        </w:tc>
        <w:tc>
          <w:tcPr/>
          <w:p>
            <w:pPr>
              <w:pStyle w:val="Compact"/>
              <w:jc w:val="left"/>
            </w:pPr>
            <w:r>
              <w:t xml:space="preserve">3 divergences supplémentaires (n° 40, 206, 328) ; n° 328 : 381 ou 390 selon la restitution</w:t>
            </w:r>
          </w:p>
        </w:tc>
        <w:tc>
          <w:tcPr/>
          <w:p>
            <w:pPr>
              <w:pStyle w:val="Compact"/>
              <w:jc w:val="left"/>
            </w:pPr>
            <w:r>
              <w:t xml:space="preserve">dossiers § D</w:t>
            </w:r>
          </w:p>
        </w:tc>
        <w:tc>
          <w:tcPr/>
          <w:p>
            <w:pPr>
              <w:pStyle w:val="Compact"/>
              <w:jc w:val="left"/>
            </w:pPr>
            <w:r>
              <w:t xml:space="preserve">fiches EDB citées</w:t>
            </w:r>
          </w:p>
        </w:tc>
      </w:tr>
      <w:tr>
        <w:tc>
          <w:tcPr/>
          <w:p>
            <w:pPr>
              <w:pStyle w:val="Compact"/>
              <w:jc w:val="left"/>
            </w:pPr>
            <w:r>
              <w:t xml:space="preserve">19</w:t>
            </w:r>
          </w:p>
        </w:tc>
        <w:tc>
          <w:tcPr/>
          <w:p>
            <w:pPr>
              <w:pStyle w:val="Compact"/>
              <w:jc w:val="left"/>
            </w:pPr>
            <w:r>
              <w:t xml:space="preserve">A016</w:t>
            </w:r>
          </w:p>
        </w:tc>
        <w:tc>
          <w:tcPr/>
          <w:p>
            <w:pPr>
              <w:pStyle w:val="Compact"/>
              <w:jc w:val="left"/>
            </w:pPr>
            <w:r>
              <w:t xml:space="preserve">n° 123 et 326 : restitutions consulaires conjecturales de l’EDB ; n° 123 : lecture EDCS</w:t>
            </w:r>
            <w:r>
              <w:t xml:space="preserve"> </w:t>
            </w:r>
            <w:r>
              <w:rPr>
                <w:iCs/>
                <w:i/>
              </w:rPr>
              <w:t xml:space="preserve">obiit</w:t>
            </w:r>
            <w:r>
              <w:t xml:space="preserve"> </w:t>
            </w:r>
            <w:r>
              <w:t xml:space="preserve">contre EDB</w:t>
            </w:r>
            <w:r>
              <w:t xml:space="preserve"> </w:t>
            </w:r>
            <w:r>
              <w:rPr>
                <w:iCs/>
                <w:i/>
              </w:rPr>
              <w:t xml:space="preserve">[Lupicin]o et Iovi[no]</w:t>
            </w:r>
          </w:p>
        </w:tc>
        <w:tc>
          <w:tcPr/>
          <w:p>
            <w:pPr>
              <w:pStyle w:val="Compact"/>
              <w:jc w:val="left"/>
            </w:pPr>
            <w:r>
              <w:t xml:space="preserve">dossiers § D</w:t>
            </w:r>
          </w:p>
        </w:tc>
        <w:tc>
          <w:tcPr/>
          <w:p>
            <w:pPr>
              <w:pStyle w:val="Compact"/>
              <w:jc w:val="left"/>
            </w:pPr>
            <w:r>
              <w:t xml:space="preserve">EDB24921, EDB24920</w:t>
            </w:r>
          </w:p>
        </w:tc>
      </w:tr>
      <w:tr>
        <w:tc>
          <w:tcPr/>
          <w:p>
            <w:pPr>
              <w:pStyle w:val="Compact"/>
              <w:jc w:val="left"/>
            </w:pPr>
            <w:r>
              <w:t xml:space="preserve">20</w:t>
            </w:r>
          </w:p>
        </w:tc>
        <w:tc>
          <w:tcPr/>
          <w:p>
            <w:pPr>
              <w:pStyle w:val="Compact"/>
              <w:jc w:val="left"/>
            </w:pPr>
            <w:r>
              <w:t xml:space="preserve">Signes chrétiens</w:t>
            </w:r>
          </w:p>
        </w:tc>
        <w:tc>
          <w:tcPr/>
          <w:p>
            <w:pPr>
              <w:pStyle w:val="Compact"/>
              <w:jc w:val="left"/>
            </w:pPr>
            <w:r>
              <w:t xml:space="preserve">45 chrismes ou croix sur 435 notices (10,3 %)</w:t>
            </w:r>
          </w:p>
        </w:tc>
        <w:tc>
          <w:tcPr/>
          <w:p>
            <w:pPr>
              <w:pStyle w:val="Compact"/>
              <w:jc w:val="left"/>
            </w:pPr>
            <w:r>
              <w:t xml:space="preserve">dossiers § E</w:t>
            </w:r>
          </w:p>
        </w:tc>
        <w:tc>
          <w:tcPr/>
          <w:p>
            <w:pPr>
              <w:pStyle w:val="Compact"/>
              <w:jc w:val="left"/>
            </w:pPr>
            <w:r>
              <w:rPr>
                <w:rStyle w:val="VerbatimChar"/>
              </w:rPr>
              <w:t xml:space="preserve">collation_edcs_edb.csv</w:t>
            </w:r>
          </w:p>
        </w:tc>
      </w:tr>
    </w:tbl>
    <w:bookmarkEnd w:id="87"/>
    <w:bookmarkStart w:id="88" w:name="lot-3-reprise-automatique-0516-utc"/>
    <w:p>
      <w:pPr>
        <w:pStyle w:val="Heading2"/>
      </w:pPr>
      <w:r>
        <w:t xml:space="preserve">2026-10-14 — lot 3 (reprise automatique, 05:16 UTC)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Objet</w:t>
            </w:r>
          </w:p>
        </w:tc>
        <w:tc>
          <w:tcPr/>
          <w:p>
            <w:pPr>
              <w:pStyle w:val="Compact"/>
              <w:jc w:val="left"/>
            </w:pPr>
            <w:r>
              <w:t xml:space="preserve">Action</w:t>
            </w:r>
          </w:p>
        </w:tc>
        <w:tc>
          <w:tcPr/>
          <w:p>
            <w:pPr>
              <w:pStyle w:val="Compact"/>
              <w:jc w:val="left"/>
            </w:pPr>
            <w:r>
              <w:t xml:space="preserve">Fichier</w:t>
            </w:r>
          </w:p>
        </w:tc>
        <w:tc>
          <w:tcPr/>
          <w:p>
            <w:pPr>
              <w:pStyle w:val="Compact"/>
              <w:jc w:val="left"/>
            </w:pPr>
            <w:r>
              <w:t xml:space="preserve">Preuve</w:t>
            </w:r>
          </w:p>
        </w:tc>
      </w:tr>
      <w:tr>
        <w:tc>
          <w:tcPr/>
          <w:p>
            <w:pPr>
              <w:pStyle w:val="Compact"/>
              <w:jc w:val="left"/>
            </w:pPr>
            <w:r>
              <w:t xml:space="preserve">21</w:t>
            </w:r>
          </w:p>
        </w:tc>
        <w:tc>
          <w:tcPr/>
          <w:p>
            <w:pPr>
              <w:pStyle w:val="Compact"/>
              <w:jc w:val="left"/>
            </w:pPr>
            <w:r>
              <w:t xml:space="preserve">Collation EDCS/EDB</w:t>
            </w:r>
          </w:p>
        </w:tc>
        <w:tc>
          <w:tcPr/>
          <w:p>
            <w:pPr>
              <w:pStyle w:val="Compact"/>
              <w:jc w:val="left"/>
            </w:pPr>
            <w:r>
              <w:t xml:space="preserve">parcours des listes EDB terminé pour les 462 n° ICUR du corpus : 440 notices appariées (269 concordantes, 134 à examiner, 37 divergentes)</w:t>
            </w:r>
          </w:p>
        </w:tc>
        <w:tc>
          <w:tcPr/>
          <w:p>
            <w:pPr>
              <w:pStyle w:val="Compact"/>
              <w:jc w:val="left"/>
            </w:pPr>
            <w:r>
              <w:rPr>
                <w:rStyle w:val="VerbatimChar"/>
              </w:rPr>
              <w:t xml:space="preserve">02_verifications/collation_edcs_edb.csv</w:t>
            </w:r>
          </w:p>
        </w:tc>
        <w:tc>
          <w:tcPr/>
          <w:p>
            <w:pPr>
              <w:pStyle w:val="Compact"/>
              <w:jc w:val="left"/>
            </w:pPr>
            <w:r>
              <w:rPr>
                <w:rStyle w:val="VerbatimChar"/>
              </w:rPr>
              <w:t xml:space="preserve">edb/brut/*.json</w:t>
            </w:r>
            <w:r>
              <w:t xml:space="preserve"> </w:t>
            </w:r>
            <w:r>
              <w:t xml:space="preserve">;</w:t>
            </w:r>
            <w:r>
              <w:t xml:space="preserve"> </w:t>
            </w:r>
            <w:r>
              <w:rPr>
                <w:rStyle w:val="VerbatimChar"/>
              </w:rPr>
              <w:t xml:space="preserve">edb/manual_rows.csv</w:t>
            </w:r>
          </w:p>
        </w:tc>
      </w:tr>
      <w:tr>
        <w:tc>
          <w:tcPr/>
          <w:p>
            <w:pPr>
              <w:pStyle w:val="Compact"/>
              <w:jc w:val="left"/>
            </w:pPr>
            <w:r>
              <w:t xml:space="preserve">22</w:t>
            </w:r>
          </w:p>
        </w:tc>
        <w:tc>
          <w:tcPr/>
          <w:p>
            <w:pPr>
              <w:pStyle w:val="Compact"/>
              <w:jc w:val="left"/>
            </w:pPr>
            <w:r>
              <w:t xml:space="preserve">16 n° ICUR II (4798–4836, 4948, 5711–5712)</w:t>
            </w:r>
          </w:p>
        </w:tc>
        <w:tc>
          <w:tcPr/>
          <w:p>
            <w:pPr>
              <w:pStyle w:val="Compact"/>
              <w:jc w:val="left"/>
            </w:pPr>
            <w:r>
              <w:t xml:space="preserve">absents de la liste publique EDB ; recherche par texte infructueuse ; cause non établie</w:t>
            </w:r>
          </w:p>
        </w:tc>
        <w:tc>
          <w:tcPr/>
          <w:p>
            <w:pPr>
              <w:pStyle w:val="Compact"/>
              <w:jc w:val="left"/>
            </w:pPr>
            <w:r>
              <w:rPr>
                <w:rStyle w:val="VerbatimChar"/>
              </w:rPr>
              <w:t xml:space="preserve">ETAT_COLLATION.md</w:t>
            </w:r>
          </w:p>
        </w:tc>
        <w:tc>
          <w:tcPr/>
          <w:p>
            <w:pPr>
              <w:pStyle w:val="Compact"/>
              <w:jc w:val="left"/>
            </w:pPr>
            <w:r>
              <w:t xml:space="preserve">registre</w:t>
            </w:r>
          </w:p>
        </w:tc>
      </w:tr>
      <w:tr>
        <w:tc>
          <w:tcPr/>
          <w:p>
            <w:pPr>
              <w:pStyle w:val="Compact"/>
              <w:jc w:val="left"/>
            </w:pPr>
            <w:r>
              <w:t xml:space="preserve">23</w:t>
            </w:r>
          </w:p>
        </w:tc>
        <w:tc>
          <w:tcPr/>
          <w:p>
            <w:pPr>
              <w:pStyle w:val="Compact"/>
              <w:jc w:val="left"/>
            </w:pPr>
            <w:r>
              <w:t xml:space="preserve">Signes chrétiens</w:t>
            </w:r>
          </w:p>
        </w:tc>
        <w:tc>
          <w:tcPr/>
          <w:p>
            <w:pPr>
              <w:pStyle w:val="Compact"/>
              <w:jc w:val="left"/>
            </w:pPr>
            <w:r>
              <w:t xml:space="preserve">46 chrismes ou croix sur 440 notices (10,5 %)</w:t>
            </w:r>
          </w:p>
        </w:tc>
        <w:tc>
          <w:tcPr/>
          <w:p>
            <w:pPr>
              <w:pStyle w:val="Compact"/>
              <w:jc w:val="left"/>
            </w:pPr>
            <w:r>
              <w:t xml:space="preserve">dossiers § E</w:t>
            </w:r>
          </w:p>
        </w:tc>
        <w:tc>
          <w:tcPr/>
          <w:p>
            <w:pPr>
              <w:pStyle w:val="Compact"/>
              <w:jc w:val="left"/>
            </w:pPr>
            <w:r>
              <w:rPr>
                <w:rStyle w:val="VerbatimChar"/>
              </w:rPr>
              <w:t xml:space="preserve">collation_edcs_edb.csv</w:t>
            </w:r>
          </w:p>
        </w:tc>
      </w:tr>
      <w:tr>
        <w:tc>
          <w:tcPr/>
          <w:p>
            <w:pPr>
              <w:pStyle w:val="Compact"/>
              <w:jc w:val="left"/>
            </w:pPr>
            <w:r>
              <w:t xml:space="preserve">24</w:t>
            </w:r>
          </w:p>
        </w:tc>
        <w:tc>
          <w:tcPr/>
          <w:p>
            <w:pPr>
              <w:pStyle w:val="Compact"/>
              <w:jc w:val="left"/>
            </w:pPr>
            <w:r>
              <w:t xml:space="preserve">Statistiques stabilisées</w:t>
            </w:r>
          </w:p>
        </w:tc>
        <w:tc>
          <w:tcPr/>
          <w:p>
            <w:pPr>
              <w:pStyle w:val="Compact"/>
              <w:jc w:val="left"/>
            </w:pPr>
            <w:r>
              <w:t xml:space="preserve">recalcul : 269 lectures stabilisées</w:t>
            </w:r>
          </w:p>
        </w:tc>
        <w:tc>
          <w:tcPr/>
          <w:p>
            <w:pPr>
              <w:pStyle w:val="Compact"/>
              <w:jc w:val="left"/>
            </w:pPr>
            <w:r>
              <w:rPr>
                <w:rStyle w:val="VerbatimChar"/>
              </w:rPr>
              <w:t xml:space="preserve">STATISTIQUES_STABILISEES.md</w:t>
            </w:r>
          </w:p>
        </w:tc>
        <w:tc>
          <w:tcPr/>
          <w:p>
            <w:pPr>
              <w:pStyle w:val="Compact"/>
              <w:jc w:val="left"/>
            </w:pPr>
            <w:r>
              <w:t xml:space="preserve">script</w:t>
            </w:r>
          </w:p>
        </w:tc>
      </w:tr>
    </w:tbl>
    <w:bookmarkEnd w:id="88"/>
    <w:bookmarkStart w:id="89" w:name="lot-4"/>
    <w:p>
      <w:pPr>
        <w:pStyle w:val="Heading2"/>
      </w:pPr>
      <w:r>
        <w:t xml:space="preserve">2026-10-14 — lot 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Objet</w:t>
            </w:r>
          </w:p>
        </w:tc>
        <w:tc>
          <w:tcPr/>
          <w:p>
            <w:pPr>
              <w:pStyle w:val="Compact"/>
              <w:jc w:val="left"/>
            </w:pPr>
            <w:r>
              <w:t xml:space="preserve">Action</w:t>
            </w:r>
          </w:p>
        </w:tc>
        <w:tc>
          <w:tcPr/>
          <w:p>
            <w:pPr>
              <w:pStyle w:val="Compact"/>
              <w:jc w:val="left"/>
            </w:pPr>
            <w:r>
              <w:t xml:space="preserve">Fichier</w:t>
            </w:r>
          </w:p>
        </w:tc>
        <w:tc>
          <w:tcPr/>
          <w:p>
            <w:pPr>
              <w:pStyle w:val="Compact"/>
              <w:jc w:val="left"/>
            </w:pPr>
            <w:r>
              <w:t xml:space="preserve">Preuve</w:t>
            </w:r>
          </w:p>
        </w:tc>
      </w:tr>
      <w:tr>
        <w:tc>
          <w:tcPr/>
          <w:p>
            <w:pPr>
              <w:pStyle w:val="Compact"/>
              <w:jc w:val="left"/>
            </w:pPr>
            <w:r>
              <w:t xml:space="preserve">25</w:t>
            </w:r>
          </w:p>
        </w:tc>
        <w:tc>
          <w:tcPr/>
          <w:p>
            <w:pPr>
              <w:pStyle w:val="Compact"/>
              <w:jc w:val="left"/>
            </w:pPr>
            <w:r>
              <w:t xml:space="preserve">Fiches EDB détaillées</w:t>
            </w:r>
          </w:p>
        </w:tc>
        <w:tc>
          <w:tcPr/>
          <w:p>
            <w:pPr>
              <w:pStyle w:val="Compact"/>
              <w:jc w:val="left"/>
            </w:pPr>
            <w:r>
              <w:t xml:space="preserve">15 fiches ouvertes (dimensions, support, notes d’éditeur, photos signalées)</w:t>
            </w:r>
          </w:p>
        </w:tc>
        <w:tc>
          <w:tcPr/>
          <w:p>
            <w:pPr>
              <w:pStyle w:val="Compact"/>
              <w:jc w:val="left"/>
            </w:pPr>
            <w:r>
              <w:rPr>
                <w:rStyle w:val="VerbatimChar"/>
              </w:rPr>
              <w:t xml:space="preserve">02_verifications/edb/fiches/</w:t>
            </w:r>
          </w:p>
        </w:tc>
        <w:tc>
          <w:tcPr/>
          <w:p>
            <w:pPr>
              <w:pStyle w:val="Compact"/>
              <w:jc w:val="left"/>
            </w:pPr>
            <w:r>
              <w:t xml:space="preserve">fiches EDB</w:t>
            </w:r>
          </w:p>
        </w:tc>
      </w:tr>
      <w:tr>
        <w:tc>
          <w:tcPr/>
          <w:p>
            <w:pPr>
              <w:pStyle w:val="Compact"/>
              <w:jc w:val="left"/>
            </w:pPr>
            <w:r>
              <w:t xml:space="preserve">26</w:t>
            </w:r>
          </w:p>
        </w:tc>
        <w:tc>
          <w:tcPr/>
          <w:p>
            <w:pPr>
              <w:pStyle w:val="Compact"/>
              <w:jc w:val="left"/>
            </w:pPr>
            <w:r>
              <w:t xml:space="preserve">A007, A008</w:t>
            </w:r>
          </w:p>
        </w:tc>
        <w:tc>
          <w:tcPr/>
          <w:p>
            <w:pPr>
              <w:pStyle w:val="Compact"/>
              <w:jc w:val="left"/>
            </w:pPr>
            <w:r>
              <w:t xml:space="preserve">doublons 106/120 et 282/288</w:t>
            </w:r>
            <w:r>
              <w:t xml:space="preserve"> </w:t>
            </w:r>
            <w:r>
              <w:rPr>
                <w:bCs/>
                <w:b/>
              </w:rPr>
              <w:t xml:space="preserve">certains</w:t>
            </w:r>
            <w:r>
              <w:t xml:space="preserve"> </w:t>
            </w:r>
            <w:r>
              <w:t xml:space="preserve">(EDH HD030246, HD021839)</w:t>
            </w:r>
          </w:p>
        </w:tc>
        <w:tc>
          <w:tcPr/>
          <w:p>
            <w:pPr>
              <w:pStyle w:val="Compact"/>
              <w:jc w:val="left"/>
            </w:pPr>
            <w:r>
              <w:t xml:space="preserve">dossiers § A</w:t>
            </w:r>
          </w:p>
        </w:tc>
        <w:tc>
          <w:tcPr/>
          <w:p>
            <w:pPr>
              <w:pStyle w:val="Compact"/>
              <w:jc w:val="left"/>
            </w:pPr>
            <w:r>
              <w:t xml:space="preserve">dump EDH</w:t>
            </w:r>
          </w:p>
        </w:tc>
      </w:tr>
      <w:tr>
        <w:tc>
          <w:tcPr/>
          <w:p>
            <w:pPr>
              <w:pStyle w:val="Compact"/>
              <w:jc w:val="left"/>
            </w:pPr>
            <w:r>
              <w:t xml:space="preserve">27</w:t>
            </w:r>
          </w:p>
        </w:tc>
        <w:tc>
          <w:tcPr/>
          <w:p>
            <w:pPr>
              <w:pStyle w:val="Compact"/>
              <w:jc w:val="left"/>
            </w:pPr>
            <w:r>
              <w:t xml:space="preserve">A010 (393/394)</w:t>
            </w:r>
          </w:p>
        </w:tc>
        <w:tc>
          <w:tcPr/>
          <w:p>
            <w:pPr>
              <w:pStyle w:val="Compact"/>
              <w:jc w:val="left"/>
            </w:pPr>
            <w:r>
              <w:t xml:space="preserve">deux fragments d’une même plaque (lecture de Ferrua citée par l’EDB) → fusion</w:t>
            </w:r>
          </w:p>
        </w:tc>
        <w:tc>
          <w:tcPr/>
          <w:p>
            <w:pPr>
              <w:pStyle w:val="Compact"/>
              <w:jc w:val="left"/>
            </w:pPr>
            <w:r>
              <w:t xml:space="preserve">dossiers § A</w:t>
            </w:r>
          </w:p>
        </w:tc>
        <w:tc>
          <w:tcPr/>
          <w:p>
            <w:pPr>
              <w:pStyle w:val="Compact"/>
              <w:jc w:val="left"/>
            </w:pPr>
            <w:r>
              <w:t xml:space="preserve">EDB39590</w:t>
            </w:r>
          </w:p>
        </w:tc>
      </w:tr>
      <w:tr>
        <w:tc>
          <w:tcPr/>
          <w:p>
            <w:pPr>
              <w:pStyle w:val="Compact"/>
              <w:jc w:val="left"/>
            </w:pPr>
            <w:r>
              <w:t xml:space="preserve">28</w:t>
            </w:r>
          </w:p>
        </w:tc>
        <w:tc>
          <w:tcPr/>
          <w:p>
            <w:pPr>
              <w:pStyle w:val="Compact"/>
              <w:jc w:val="left"/>
            </w:pPr>
            <w:r>
              <w:t xml:space="preserve">A009 (313/314)</w:t>
            </w:r>
          </w:p>
        </w:tc>
        <w:tc>
          <w:tcPr/>
          <w:p>
            <w:pPr>
              <w:pStyle w:val="Compact"/>
              <w:jc w:val="left"/>
            </w:pPr>
            <w:r>
              <w:t xml:space="preserve">note EDB : le frère est mort</w:t>
            </w:r>
            <w:r>
              <w:t xml:space="preserve"> </w:t>
            </w:r>
            <w:r>
              <w:rPr>
                <w:bCs/>
                <w:b/>
              </w:rPr>
              <w:t xml:space="preserve">avant</w:t>
            </w:r>
            <w:r>
              <w:t xml:space="preserve"> </w:t>
            </w:r>
            <w:r>
              <w:t xml:space="preserve">→ restitution 390 contradictoire ; datation de (b) incertaine</w:t>
            </w:r>
          </w:p>
        </w:tc>
        <w:tc>
          <w:tcPr/>
          <w:p>
            <w:pPr>
              <w:pStyle w:val="Compact"/>
              <w:jc w:val="left"/>
            </w:pPr>
            <w:r>
              <w:t xml:space="preserve">dossiers § A</w:t>
            </w:r>
          </w:p>
        </w:tc>
        <w:tc>
          <w:tcPr/>
          <w:p>
            <w:pPr>
              <w:pStyle w:val="Compact"/>
              <w:jc w:val="left"/>
            </w:pPr>
            <w:r>
              <w:t xml:space="preserve">EDB39579</w:t>
            </w:r>
          </w:p>
        </w:tc>
      </w:tr>
      <w:tr>
        <w:tc>
          <w:tcPr/>
          <w:p>
            <w:pPr>
              <w:pStyle w:val="Compact"/>
              <w:jc w:val="left"/>
            </w:pPr>
            <w:r>
              <w:t xml:space="preserve">29</w:t>
            </w:r>
          </w:p>
        </w:tc>
        <w:tc>
          <w:tcPr/>
          <w:p>
            <w:pPr>
              <w:pStyle w:val="Compact"/>
              <w:jc w:val="left"/>
            </w:pPr>
            <w:r>
              <w:t xml:space="preserve">n° 98</w:t>
            </w:r>
          </w:p>
        </w:tc>
        <w:tc>
          <w:tcPr/>
          <w:p>
            <w:pPr>
              <w:pStyle w:val="Compact"/>
              <w:jc w:val="left"/>
            </w:pPr>
            <w:r>
              <w:rPr>
                <w:bCs/>
                <w:b/>
              </w:rPr>
              <w:t xml:space="preserve">hors corpus</w:t>
            </w:r>
            <w:r>
              <w:t xml:space="preserve"> </w:t>
            </w:r>
            <w:r>
              <w:t xml:space="preserve">: consul lu Severinus (461/482) ;</w:t>
            </w:r>
            <w:r>
              <w:t xml:space="preserve"> </w:t>
            </w:r>
            <w:r>
              <w:rPr>
                <w:iCs/>
                <w:i/>
              </w:rPr>
              <w:t xml:space="preserve">Dagalaiphi</w:t>
            </w:r>
            <w:r>
              <w:t xml:space="preserve"> </w:t>
            </w:r>
            <w:r>
              <w:t xml:space="preserve">restitué</w:t>
            </w:r>
          </w:p>
        </w:tc>
        <w:tc>
          <w:tcPr/>
          <w:p>
            <w:pPr>
              <w:pStyle w:val="Compact"/>
              <w:jc w:val="left"/>
            </w:pPr>
            <w:r>
              <w:t xml:space="preserve">dossiers § F</w:t>
            </w:r>
          </w:p>
        </w:tc>
        <w:tc>
          <w:tcPr/>
          <w:p>
            <w:pPr>
              <w:pStyle w:val="Compact"/>
              <w:jc w:val="left"/>
            </w:pPr>
            <w:r>
              <w:t xml:space="preserve">EDB20076, EDH HD028015</w:t>
            </w:r>
          </w:p>
        </w:tc>
      </w:tr>
      <w:tr>
        <w:tc>
          <w:tcPr/>
          <w:p>
            <w:pPr>
              <w:pStyle w:val="Compact"/>
              <w:jc w:val="left"/>
            </w:pPr>
            <w:r>
              <w:t xml:space="preserve">30</w:t>
            </w:r>
          </w:p>
        </w:tc>
        <w:tc>
          <w:tcPr/>
          <w:p>
            <w:pPr>
              <w:pStyle w:val="Compact"/>
              <w:jc w:val="left"/>
            </w:pPr>
            <w:r>
              <w:t xml:space="preserve">Notices sans ICUR</w:t>
            </w:r>
          </w:p>
        </w:tc>
        <w:tc>
          <w:tcPr/>
          <w:p>
            <w:pPr>
              <w:pStyle w:val="Compact"/>
              <w:jc w:val="left"/>
            </w:pPr>
            <w:r>
              <w:t xml:space="preserve">13 retrouvées (EDB/EDH), 6 non trouvées ; n° 369 conservé à Valencia : provenance non établie</w:t>
            </w:r>
          </w:p>
        </w:tc>
        <w:tc>
          <w:tcPr/>
          <w:p>
            <w:pPr>
              <w:pStyle w:val="Compact"/>
              <w:jc w:val="left"/>
            </w:pPr>
            <w:r>
              <w:t xml:space="preserve">dossiers § F</w:t>
            </w:r>
          </w:p>
        </w:tc>
        <w:tc>
          <w:tcPr/>
          <w:p>
            <w:pPr>
              <w:pStyle w:val="Compact"/>
              <w:jc w:val="left"/>
            </w:pPr>
            <w:r>
              <w:rPr>
                <w:rStyle w:val="VerbatimChar"/>
              </w:rPr>
              <w:t xml:space="preserve">mapping_extra.csv</w:t>
            </w:r>
          </w:p>
        </w:tc>
      </w:tr>
      <w:tr>
        <w:tc>
          <w:tcPr/>
          <w:p>
            <w:pPr>
              <w:pStyle w:val="Compact"/>
              <w:jc w:val="left"/>
            </w:pPr>
            <w:r>
              <w:t xml:space="preserve">31</w:t>
            </w:r>
          </w:p>
        </w:tc>
        <w:tc>
          <w:tcPr/>
          <w:p>
            <w:pPr>
              <w:pStyle w:val="Compact"/>
              <w:jc w:val="left"/>
            </w:pPr>
            <w:r>
              <w:t xml:space="preserve">Collation</w:t>
            </w:r>
          </w:p>
        </w:tc>
        <w:tc>
          <w:tcPr/>
          <w:p>
            <w:pPr>
              <w:pStyle w:val="Compact"/>
              <w:jc w:val="left"/>
            </w:pPr>
            <w:r>
              <w:t xml:space="preserve">456/478 notices appariées (281 concordantes, 137 à examiner, 38 divergentes)</w:t>
            </w:r>
          </w:p>
        </w:tc>
        <w:tc>
          <w:tcPr/>
          <w:p>
            <w:pPr>
              <w:pStyle w:val="Compact"/>
              <w:jc w:val="left"/>
            </w:pPr>
            <w:r>
              <w:rPr>
                <w:rStyle w:val="VerbatimChar"/>
              </w:rPr>
              <w:t xml:space="preserve">collation_edcs_edb.csv</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Corpus</w:t>
            </w:r>
          </w:p>
        </w:tc>
        <w:tc>
          <w:tcPr/>
          <w:p>
            <w:pPr>
              <w:pStyle w:val="Compact"/>
              <w:jc w:val="left"/>
            </w:pPr>
            <w:r>
              <w:t xml:space="preserve">473 textes distincts datés de 340–403</w:t>
            </w:r>
          </w:p>
        </w:tc>
        <w:tc>
          <w:tcPr/>
          <w:p>
            <w:pPr>
              <w:pStyle w:val="Compact"/>
              <w:jc w:val="left"/>
            </w:pPr>
            <w:r>
              <w:t xml:space="preserve">dossiers § F</w:t>
            </w:r>
          </w:p>
        </w:tc>
        <w:tc>
          <w:tcPr/>
          <w:p>
            <w:pPr>
              <w:pStyle w:val="Compact"/>
              <w:jc w:val="left"/>
            </w:pPr>
            <w:r>
              <w:t xml:space="preserve">—</w:t>
            </w:r>
          </w:p>
        </w:tc>
      </w:tr>
    </w:tbl>
    <w:bookmarkEnd w:id="89"/>
    <w:bookmarkStart w:id="90" w:name="lot-5"/>
    <w:p>
      <w:pPr>
        <w:pStyle w:val="Heading2"/>
      </w:pPr>
      <w:r>
        <w:t xml:space="preserve">2026-10-14 — lot 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Objet</w:t>
            </w:r>
          </w:p>
        </w:tc>
        <w:tc>
          <w:tcPr/>
          <w:p>
            <w:pPr>
              <w:pStyle w:val="Compact"/>
              <w:jc w:val="left"/>
            </w:pPr>
            <w:r>
              <w:t xml:space="preserve">Action</w:t>
            </w:r>
          </w:p>
        </w:tc>
        <w:tc>
          <w:tcPr/>
          <w:p>
            <w:pPr>
              <w:pStyle w:val="Compact"/>
              <w:jc w:val="left"/>
            </w:pPr>
            <w:r>
              <w:t xml:space="preserve">Fichier</w:t>
            </w:r>
          </w:p>
        </w:tc>
        <w:tc>
          <w:tcPr/>
          <w:p>
            <w:pPr>
              <w:pStyle w:val="Compact"/>
              <w:jc w:val="left"/>
            </w:pPr>
            <w:r>
              <w:t xml:space="preserve">Preuve</w:t>
            </w:r>
          </w:p>
        </w:tc>
      </w:tr>
      <w:tr>
        <w:tc>
          <w:tcPr/>
          <w:p>
            <w:pPr>
              <w:pStyle w:val="Compact"/>
              <w:jc w:val="left"/>
            </w:pPr>
            <w:r>
              <w:t xml:space="preserve">33</w:t>
            </w:r>
          </w:p>
        </w:tc>
        <w:tc>
          <w:tcPr/>
          <w:p>
            <w:pPr>
              <w:pStyle w:val="Compact"/>
              <w:jc w:val="left"/>
            </w:pPr>
            <w:r>
              <w:t xml:space="preserve">Consuls lus / restitués</w:t>
            </w:r>
          </w:p>
        </w:tc>
        <w:tc>
          <w:tcPr/>
          <w:p>
            <w:pPr>
              <w:pStyle w:val="Compact"/>
              <w:jc w:val="left"/>
            </w:pPr>
            <w:r>
              <w:t xml:space="preserve">classement de 462 notices à datation directe selon l’état des lettres (gravé, restitué, développé) ; 38 cas relus à la main</w:t>
            </w:r>
          </w:p>
        </w:tc>
        <w:tc>
          <w:tcPr/>
          <w:p>
            <w:pPr>
              <w:pStyle w:val="Compact"/>
              <w:jc w:val="left"/>
            </w:pPr>
            <w:r>
              <w:rPr>
                <w:rStyle w:val="VerbatimChar"/>
              </w:rPr>
              <w:t xml:space="preserve">02_verifications/consuls_lus_restitues.csv</w:t>
            </w:r>
            <w:r>
              <w:t xml:space="preserve">,</w:t>
            </w:r>
            <w:r>
              <w:t xml:space="preserve"> </w:t>
            </w:r>
            <w:r>
              <w:rPr>
                <w:rStyle w:val="VerbatimChar"/>
              </w:rPr>
              <w:t xml:space="preserve">consuls_revue_manuelle.csv</w:t>
            </w:r>
          </w:p>
        </w:tc>
        <w:tc>
          <w:tcPr/>
          <w:p>
            <w:pPr>
              <w:pStyle w:val="Compact"/>
              <w:jc w:val="left"/>
            </w:pPr>
            <w:r>
              <w:rPr>
                <w:rStyle w:val="VerbatimChar"/>
              </w:rPr>
              <w:t xml:space="preserve">05_scripts/consuls_lus_restitues.py</w:t>
            </w:r>
          </w:p>
        </w:tc>
      </w:tr>
      <w:tr>
        <w:tc>
          <w:tcPr/>
          <w:p>
            <w:pPr>
              <w:pStyle w:val="Compact"/>
              <w:jc w:val="left"/>
            </w:pPr>
            <w:r>
              <w:t xml:space="preserve">34</w:t>
            </w:r>
          </w:p>
        </w:tc>
        <w:tc>
          <w:tcPr/>
          <w:p>
            <w:pPr>
              <w:pStyle w:val="Compact"/>
              <w:jc w:val="left"/>
            </w:pPr>
            <w:r>
              <w:t xml:space="preserve">Faux consuls de la v2.0</w:t>
            </w:r>
          </w:p>
        </w:tc>
        <w:tc>
          <w:tcPr/>
          <w:p>
            <w:pPr>
              <w:pStyle w:val="Compact"/>
              <w:jc w:val="left"/>
            </w:pPr>
            <w:r>
              <w:t xml:space="preserve">30 noms de personnes (défunts, dédicants, apôtre Paul…) comptés comme consuls dans 29 notices ; l’année n’est pas affectée</w:t>
            </w:r>
          </w:p>
        </w:tc>
        <w:tc>
          <w:tcPr/>
          <w:p>
            <w:pPr>
              <w:pStyle w:val="Compact"/>
              <w:jc w:val="left"/>
            </w:pPr>
            <w:r>
              <w:rPr>
                <w:rStyle w:val="VerbatimChar"/>
              </w:rPr>
              <w:t xml:space="preserve">02_verifications/consuls_faux_positifs_v2.csv</w:t>
            </w:r>
          </w:p>
        </w:tc>
        <w:tc>
          <w:tcPr/>
          <w:p>
            <w:pPr>
              <w:pStyle w:val="Compact"/>
              <w:jc w:val="left"/>
            </w:pPr>
            <w:r>
              <w:t xml:space="preserve">forme citée du texte EDCS</w:t>
            </w:r>
          </w:p>
        </w:tc>
      </w:tr>
      <w:tr>
        <w:tc>
          <w:tcPr/>
          <w:p>
            <w:pPr>
              <w:pStyle w:val="Compact"/>
              <w:jc w:val="left"/>
            </w:pPr>
            <w:r>
              <w:t xml:space="preserve">35</w:t>
            </w:r>
          </w:p>
        </w:tc>
        <w:tc>
          <w:tcPr/>
          <w:p>
            <w:pPr>
              <w:pStyle w:val="Compact"/>
              <w:jc w:val="left"/>
            </w:pPr>
            <w:r>
              <w:t xml:space="preserve">Datations par restitution</w:t>
            </w:r>
          </w:p>
        </w:tc>
        <w:tc>
          <w:tcPr/>
          <w:p>
            <w:pPr>
              <w:pStyle w:val="Compact"/>
              <w:jc w:val="left"/>
            </w:pPr>
            <w:r>
              <w:t xml:space="preserve">sur 457 textes à datation directe : A 338, B 97, C 2, R 20 ; liste des 20 textes datés par restitution</w:t>
            </w:r>
          </w:p>
        </w:tc>
        <w:tc>
          <w:tcPr/>
          <w:p>
            <w:pPr>
              <w:pStyle w:val="Compact"/>
              <w:jc w:val="left"/>
            </w:pPr>
            <w:r>
              <w:t xml:space="preserve">dossiers § G</w:t>
            </w:r>
          </w:p>
        </w:tc>
        <w:tc>
          <w:tcPr/>
          <w:p>
            <w:pPr>
              <w:pStyle w:val="Compact"/>
              <w:jc w:val="left"/>
            </w:pPr>
            <w:r>
              <w:t xml:space="preserve">idem</w:t>
            </w:r>
          </w:p>
        </w:tc>
      </w:tr>
      <w:tr>
        <w:tc>
          <w:tcPr/>
          <w:p>
            <w:pPr>
              <w:pStyle w:val="Compact"/>
              <w:jc w:val="left"/>
            </w:pPr>
            <w:r>
              <w:t xml:space="preserve">36</w:t>
            </w:r>
          </w:p>
        </w:tc>
        <w:tc>
          <w:tcPr/>
          <w:p>
            <w:pPr>
              <w:pStyle w:val="Compact"/>
              <w:jc w:val="left"/>
            </w:pPr>
            <w:r>
              <w:t xml:space="preserve">Consuls lus omis par la v2.0</w:t>
            </w:r>
          </w:p>
        </w:tc>
        <w:tc>
          <w:tcPr/>
          <w:p>
            <w:pPr>
              <w:pStyle w:val="Compact"/>
              <w:jc w:val="left"/>
            </w:pPr>
            <w:r>
              <w:t xml:space="preserve">n° 53, 155, 309, 423, 450, 456, 476</w:t>
            </w:r>
          </w:p>
        </w:tc>
        <w:tc>
          <w:tcPr/>
          <w:p>
            <w:pPr>
              <w:pStyle w:val="Compact"/>
              <w:jc w:val="left"/>
            </w:pPr>
            <w:r>
              <w:t xml:space="preserve">dossiers § G</w:t>
            </w:r>
          </w:p>
        </w:tc>
        <w:tc>
          <w:tcPr/>
          <w:p>
            <w:pPr>
              <w:pStyle w:val="Compact"/>
              <w:jc w:val="left"/>
            </w:pPr>
            <w:r>
              <w:t xml:space="preserve">texte EDCS</w:t>
            </w:r>
          </w:p>
        </w:tc>
      </w:tr>
      <w:tr>
        <w:tc>
          <w:tcPr/>
          <w:p>
            <w:pPr>
              <w:pStyle w:val="Compact"/>
              <w:jc w:val="left"/>
            </w:pPr>
            <w:r>
              <w:t xml:space="preserve">37</w:t>
            </w:r>
          </w:p>
        </w:tc>
        <w:tc>
          <w:tcPr/>
          <w:p>
            <w:pPr>
              <w:pStyle w:val="Compact"/>
              <w:jc w:val="left"/>
            </w:pPr>
            <w:r>
              <w:t xml:space="preserve">Script du cahier</w:t>
            </w:r>
          </w:p>
        </w:tc>
        <w:tc>
          <w:tcPr/>
          <w:p>
            <w:pPr>
              <w:pStyle w:val="Compact"/>
              <w:jc w:val="left"/>
            </w:pPr>
            <w:r>
              <w:rPr>
                <w:rStyle w:val="VerbatimChar"/>
              </w:rPr>
              <w:t xml:space="preserve">05_scripts/build_cahier.sh</w:t>
            </w:r>
            <w:r>
              <w:t xml:space="preserve"> </w:t>
            </w:r>
            <w:r>
              <w:t xml:space="preserve">versé au dépôt (pandoc + Chromium)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38</w:t>
            </w:r>
          </w:p>
        </w:tc>
        <w:tc>
          <w:tcPr/>
          <w:p>
            <w:pPr>
              <w:pStyle w:val="Compact"/>
              <w:jc w:val="left"/>
            </w:pPr>
            <w:r>
              <w:t xml:space="preserve">Divergences fortes</w:t>
            </w:r>
          </w:p>
        </w:tc>
        <w:tc>
          <w:tcPr/>
          <w:p>
            <w:pPr>
              <w:pStyle w:val="Compact"/>
              <w:jc w:val="left"/>
            </w:pPr>
            <w:r>
              <w:t xml:space="preserve">33 fiches EDB détaillées ouvertes (36 fiches pour 38 notices) ; analyse notice par notice</w:t>
            </w:r>
          </w:p>
        </w:tc>
        <w:tc>
          <w:tcPr/>
          <w:p>
            <w:pPr>
              <w:pStyle w:val="Compact"/>
              <w:jc w:val="left"/>
            </w:pPr>
            <w:r>
              <w:rPr>
                <w:rStyle w:val="VerbatimChar"/>
              </w:rPr>
              <w:t xml:space="preserve">02_verifications/edb/divergences_fortes_fiches.csv</w:t>
            </w:r>
          </w:p>
        </w:tc>
        <w:tc>
          <w:tcPr/>
          <w:p>
            <w:pPr>
              <w:pStyle w:val="Compact"/>
              <w:jc w:val="left"/>
            </w:pPr>
            <w:r>
              <w:rPr>
                <w:rStyle w:val="VerbatimChar"/>
              </w:rPr>
              <w:t xml:space="preserve">edb/fiches/fiches_lot5_*.json</w:t>
            </w:r>
          </w:p>
        </w:tc>
      </w:tr>
      <w:tr>
        <w:tc>
          <w:tcPr/>
          <w:p>
            <w:pPr>
              <w:pStyle w:val="Compact"/>
              <w:jc w:val="left"/>
            </w:pPr>
            <w:r>
              <w:t xml:space="preserve">39</w:t>
            </w:r>
          </w:p>
        </w:tc>
        <w:tc>
          <w:tcPr/>
          <w:p>
            <w:pPr>
              <w:pStyle w:val="Compact"/>
              <w:jc w:val="left"/>
            </w:pPr>
            <w:r>
              <w:t xml:space="preserve">Datations</w:t>
            </w:r>
          </w:p>
        </w:tc>
        <w:tc>
          <w:tcPr/>
          <w:p>
            <w:pPr>
              <w:pStyle w:val="Compact"/>
              <w:jc w:val="left"/>
            </w:pPr>
            <w:r>
              <w:t xml:space="preserve">n° 52 : 333/358 (CLRE p. 631, Dalmatius) ; n° 431 : 398 (CLRE p. 661) contre 399 ; n° 165 : 372 conjectural (Ferrua) ; n° 220 : 381 incertain</w:t>
            </w:r>
          </w:p>
        </w:tc>
        <w:tc>
          <w:tcPr/>
          <w:p>
            <w:pPr>
              <w:pStyle w:val="Compact"/>
              <w:jc w:val="left"/>
            </w:pPr>
            <w:r>
              <w:t xml:space="preserve">dossiers § D et § H</w:t>
            </w:r>
          </w:p>
        </w:tc>
        <w:tc>
          <w:tcPr/>
          <w:p>
            <w:pPr>
              <w:pStyle w:val="Compact"/>
              <w:jc w:val="left"/>
            </w:pPr>
            <w:r>
              <w:t xml:space="preserve">EDB17462, EDB27849, EDB40555, EDB30687</w:t>
            </w:r>
          </w:p>
        </w:tc>
      </w:tr>
      <w:tr>
        <w:tc>
          <w:tcPr/>
          <w:p>
            <w:pPr>
              <w:pStyle w:val="Compact"/>
              <w:jc w:val="left"/>
            </w:pPr>
            <w:r>
              <w:t xml:space="preserve">40</w:t>
            </w:r>
          </w:p>
        </w:tc>
        <w:tc>
          <w:tcPr/>
          <w:p>
            <w:pPr>
              <w:pStyle w:val="Compact"/>
              <w:jc w:val="left"/>
            </w:pPr>
            <w:r>
              <w:t xml:space="preserve">Textes à vérifier sur l’ICVR</w:t>
            </w:r>
          </w:p>
        </w:tc>
        <w:tc>
          <w:tcPr/>
          <w:p>
            <w:pPr>
              <w:pStyle w:val="Compact"/>
              <w:jc w:val="left"/>
            </w:pPr>
            <w:r>
              <w:t xml:space="preserve">n° 306 (ligne</w:t>
            </w:r>
            <w:r>
              <w:t xml:space="preserve"> </w:t>
            </w:r>
            <w:r>
              <w:rPr>
                <w:iCs/>
                <w:i/>
              </w:rPr>
              <w:t xml:space="preserve">virgo ancilla dei</w:t>
            </w:r>
            <w:r>
              <w:t xml:space="preserve"> </w:t>
            </w:r>
            <w:r>
              <w:t xml:space="preserve">absente de l’EDB), n° 378 (formule consulaire absente des 3 fragments EDB)</w:t>
            </w:r>
          </w:p>
        </w:tc>
        <w:tc>
          <w:tcPr/>
          <w:p>
            <w:pPr>
              <w:pStyle w:val="Compact"/>
              <w:jc w:val="left"/>
            </w:pPr>
            <w:r>
              <w:t xml:space="preserve">dossiers § H</w:t>
            </w:r>
          </w:p>
        </w:tc>
        <w:tc>
          <w:tcPr/>
          <w:p>
            <w:pPr>
              <w:pStyle w:val="Compact"/>
              <w:jc w:val="left"/>
            </w:pPr>
            <w:r>
              <w:t xml:space="preserve">EDB27045 ; EDB25348, 25442, 42793</w:t>
            </w:r>
          </w:p>
        </w:tc>
      </w:tr>
      <w:tr>
        <w:tc>
          <w:tcPr/>
          <w:p>
            <w:pPr>
              <w:pStyle w:val="Compact"/>
              <w:jc w:val="left"/>
            </w:pPr>
            <w:r>
              <w:t xml:space="preserve">41</w:t>
            </w:r>
          </w:p>
        </w:tc>
        <w:tc>
          <w:tcPr/>
          <w:p>
            <w:pPr>
              <w:pStyle w:val="Compact"/>
              <w:jc w:val="left"/>
            </w:pPr>
            <w:r>
              <w:t xml:space="preserve">6 notices introuvables</w:t>
            </w:r>
          </w:p>
        </w:tc>
        <w:tc>
          <w:tcPr/>
          <w:p>
            <w:pPr>
              <w:pStyle w:val="Compact"/>
              <w:jc w:val="left"/>
            </w:pPr>
            <w:r>
              <w:t xml:space="preserve">page EDB 2069 lue (sans résultat) ; EDCS (nouvelle adresse) lue : aucune équivalence ICUR ; EDH : aucune correspondance</w:t>
            </w:r>
          </w:p>
        </w:tc>
        <w:tc>
          <w:tcPr/>
          <w:p>
            <w:pPr>
              <w:pStyle w:val="Compact"/>
              <w:jc w:val="left"/>
            </w:pPr>
            <w:r>
              <w:t xml:space="preserve">dossiers § F</w:t>
            </w:r>
          </w:p>
        </w:tc>
        <w:tc>
          <w:tcPr/>
          <w:p>
            <w:pPr>
              <w:pStyle w:val="Compact"/>
              <w:jc w:val="left"/>
            </w:pPr>
            <w:r>
              <w:rPr>
                <w:rStyle w:val="VerbatimChar"/>
              </w:rPr>
              <w:t xml:space="preserve">02_verifications/edcs/*.json</w:t>
            </w:r>
          </w:p>
        </w:tc>
      </w:tr>
    </w:tbl>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PRISME — Cahier de révision v3 (lots 1-5)</dc:title>
  <dc:creator>Alexis Angel Martini (auteur) ; consolidation assistée</dc:creator>
  <dc:language>fr</dc:language>
  <cp:keywords/>
  <dcterms:created xsi:type="dcterms:W3CDTF">2026-10-14T17:33:21Z</dcterms:created>
  <dcterms:modified xsi:type="dcterms:W3CDTF">2026-10-14T17:33:21Z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octobre 2026</vt:lpwstr>
  </property>
  <property fmtid="{D5CDD505-2E9C-101B-9397-08002B2CF9AE}" pid="3" name="subtitle">
    <vt:lpwstr>Épitaphes chrétiennes datées de Rome (340–403) — consolidation documentaire</vt:lpwstr>
  </property>
</Properties>
</file>