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in sequencing run durance1, 50 % of intermediate hybrids</w:t>
      </w:r>
      <w:r>
        <w:rPr>
          <w:color w:val="1F4E79"/>
        </w:rPr>
        <w:t xml:space="preserve"> passed the threshold against 86 % of </w:t>
      </w:r>
      <w:r>
        <w:rPr>
          <w:i/>
          <w:color w:val="1F4E79"/>
        </w:rPr>
        <w:t>P. toxostoma</w:t>
      </w:r>
      <w:r>
        <w:rPr>
          <w:color w:val="1F4E79"/>
        </w:rPr>
        <w:t xml:space="preserve"> (pass 1), and 67 % of all 42 hybrids (pass 2), a gap of 36 and 20 points respectively.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the midgut gap (14.0 and 8.9 points) persisting at 500 reads in any case (Supplementary Table S6 and Figure S1).</w:t>
      </w:r>
      <w:r>
        <w:rPr>
          <w:i/>
          <w:color w:val="888888"/>
          <w:sz w:val="18"/>
        </w:rPr>
        <w:t xml:space="preserve"> [Écarts de rétention : valeurs du run durance1 (scripts/43-retention_profondeur.py, results/depth_agreement/retention_par_categorie.tsv, 2026-10-05) ; aucun script ne les produisait auparavant. Sur les trois runs : caudale à 3 000 lectures 29,0–36,4 points (passe 1) et 14,7–19,8 (passe 2) ; à 500 lectures 2,6–3,8 et 3,4–5,7 ; midgut à 500 lectures 5,7–14,0 et 7,8–8,9 (runs confondus : 32,3 / 17,2 ; 3,4 / 4,5 ; 8,5 / 8,2). Le midgut de la passe 1 dépend du run (14,0 dans durance1, 5,7 dans les deux autres). Rapporter la valeur d'un run ou l'étendue : à trancher par JF.]</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Because C. nasus was generally processed first, processing order could contribute to</w:t>
      </w:r>
      <w:r>
        <w:rPr>
          <w:i/>
          <w:color w:val="1F4E79"/>
        </w:rPr>
      </w:r>
      <w:r>
        <w:rPr>
          <w:color w:val="1F4E79"/>
        </w:rPr>
        <w:t xml:space="preserve">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