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Current state of the art: 16S rRNA microbiome analysis in fish</w:t>
      </w:r>
    </w:p>
    <w:p>
      <w:r>
        <w:rPr>
          <w:b w:val="0"/>
          <w:i/>
        </w:rPr>
        <w:t>A protocol reflecting 2022–2025 best practice for host-associated 16S amplicon studies in fish, with inline numbered citations to the key methods literature. Written as current standard practice, independent of any specific prior study.</w:t>
      </w:r>
    </w:p>
    <w:p>
      <w:pPr>
        <w:pStyle w:val="Heading1"/>
      </w:pPr>
      <w:r>
        <w:t>The short version (current standard stack)</w:t>
      </w:r>
    </w:p>
    <w:p>
      <w:r>
        <w:rPr>
          <w:b/>
          <w:i w:val="0"/>
        </w:rPr>
        <w:t>Design with controls → V4 or V3–V4 amplicon, Illumina 2×250/300 → DADA2/Deblur ASVs [1, 2, 3] (per-run error model, then merge) → SILVA 138 [4] or Greengenes2 [5] taxonomy → phylogeny by fragment insertion (SEPP) [6] → decontam using sequenced blanks + mock validation [7] → analyse without rarefying where possible (or rarefy for diversity only, and show robustness) [8, 9] → alpha (Shannon, Faith PD) + beta (Bray–Curtis, weighted &amp; unweighted UniFrac [10]; PERMANOVA WITH a PERMDISP dispersion check) → differential abundance with ≥2 compositional methods [11, 12, 13] reporting the consensus [14, 15, 16] → PICRUSt2 predicted function reported as hypotheses with NSTI [17]. All within the QIIME 2 framework [18]; the field best-practice reference for wildlife/non-model 16S is Combrink et al. 2023 [19].</w:t>
      </w:r>
    </w:p>
    <w:p>
      <w:pPr>
        <w:pStyle w:val="Heading1"/>
      </w:pPr>
      <w:r>
        <w:t>1. Where the field has actually MOVED (what to modernise)</w:t>
      </w:r>
    </w:p>
    <w:p>
      <w:r>
        <w:rPr>
          <w:b w:val="0"/>
          <w:i/>
        </w:rPr>
        <w:t>If you learned this pipeline ~5 years ago, these are the substantive shifts, not cosmetic ones:</w:t>
      </w:r>
    </w:p>
    <w:p>
      <w:pPr>
        <w:pStyle w:val="ListBullet"/>
      </w:pPr>
      <w:r>
        <w:t>OTUs → ASVs. Exact sequence variants from DADA2 or Deblur have replaced 97% OTU clustering; they are reproducible and comparable across studies without re-clustering [1, 2, 3].</w:t>
      </w:r>
    </w:p>
    <w:p>
      <w:pPr>
        <w:pStyle w:val="ListBullet"/>
      </w:pPr>
      <w:r>
        <w:t>De-novo trees → reference-based phylogenetic placement. Fragment insertion (SEPP) places short ASVs into a curated reference tree and is preferred over de-novo trees for UniFrac distances [6, 10].</w:t>
      </w:r>
    </w:p>
    <w:p>
      <w:pPr>
        <w:pStyle w:val="ListBullet"/>
      </w:pPr>
      <w:r>
        <w:t>Database versions matter and are moving targets. SILVA has moved to v138.x [4]; Greengenes2 (2022.10) is a new, actively maintained reference tree/taxonomy [5]. Always cite the exact version.</w:t>
      </w:r>
    </w:p>
    <w:p>
      <w:pPr>
        <w:pStyle w:val="ListBullet"/>
      </w:pPr>
      <w:r>
        <w:t>Rarefaction is no longer the default reflex. The influential argument against it [8] drove the field toward compositional/model-based methods; if you rarefy, justify it for diversity metrics, noting that the best normalisation depends on data characteristics [9].</w:t>
      </w:r>
    </w:p>
    <w:p>
      <w:pPr>
        <w:pStyle w:val="ListBullet"/>
      </w:pPr>
      <w:r>
        <w:t>ANCOM → ANCOM-BC(2), and run more than one method. The original ANCOM is superseded by bias-corrected ANCOM-BC [12], and the current consensus is to run several differential-abundance methods rather than trust one [14].</w:t>
      </w:r>
    </w:p>
    <w:p>
      <w:pPr>
        <w:pStyle w:val="ListBullet"/>
      </w:pPr>
      <w:r>
        <w:t>PICRUSt1 → PICRUSt2 for functional prediction; report NSTI and treat outputs as predictions [17].</w:t>
      </w:r>
    </w:p>
    <w:p>
      <w:pPr>
        <w:pStyle w:val="ListBullet"/>
      </w:pPr>
      <w:r>
        <w:t>Contamination control is now mandatory. Sequenced negative controls, mock communities, and a documented decontamination step are expected for low-biomass mucosal samples [7, 19].</w:t>
      </w:r>
    </w:p>
    <w:p>
      <w:pPr>
        <w:pStyle w:val="Heading1"/>
      </w:pPr>
      <w:r>
        <w:t>2. Experimental design and sampling</w:t>
      </w:r>
    </w:p>
    <w:p>
      <w:pPr>
        <w:pStyle w:val="ListBullet"/>
      </w:pPr>
      <w:r>
        <w:t>Replication: maximise biological replicates per group; low n is the dominant limit on power for beta-diversity and differential-abundance testing [19].</w:t>
      </w:r>
    </w:p>
    <w:p>
      <w:pPr>
        <w:pStyle w:val="ListBullet"/>
      </w:pPr>
      <w:r>
        <w:t>Standardise the compartment: define gut region and lumen-vs-mucosa (or gill filament, skin area) and keep it identical across samples — it is a first-order driver of composition [19].</w:t>
      </w:r>
    </w:p>
    <w:p>
      <w:pPr>
        <w:pStyle w:val="ListBullet"/>
      </w:pPr>
      <w:r>
        <w:t>Sterile, rapid dissection; immediate preservation (flash-freeze or high-grade ethanol). Preservation method itself shifts profiles, so keep it constant [19].</w:t>
      </w:r>
    </w:p>
    <w:p>
      <w:pPr>
        <w:pStyle w:val="ListBullet"/>
      </w:pPr>
      <w:r>
        <w:t>CONTROLS (non-negotiable for mucosal/low-biomass): extraction blanks, PCR no-template controls, and a mock community, all sequenced on the SAME run as the samples [7, 19].</w:t>
      </w:r>
    </w:p>
    <w:p>
      <w:pPr>
        <w:pStyle w:val="ListBullet"/>
      </w:pPr>
      <w:r>
        <w:t>Environmental references: sequence surrounding water and/or diet where feasible to separate host-selected taxa from transient environmental DNA [19].</w:t>
      </w:r>
    </w:p>
    <w:p>
      <w:pPr>
        <w:pStyle w:val="Heading1"/>
      </w:pPr>
      <w:r>
        <w:t>3. Molecular methods and sequencing</w:t>
      </w:r>
    </w:p>
    <w:p>
      <w:pPr>
        <w:pStyle w:val="ListBullet"/>
      </w:pPr>
      <w:r>
        <w:t>One extraction protocol for the whole study; include mechanical lysis (bead-beating). Mixed protocols create batch effects [19].</w:t>
      </w:r>
    </w:p>
    <w:p>
      <w:pPr>
        <w:pStyle w:val="ListBullet"/>
      </w:pPr>
      <w:r>
        <w:t>Target region: V4 (515F/806RB, Earth Microbiome Project / Kozich dual-index) for cross-study comparability, or V3–V4 for finer resolution; these regions reconstruct phylogenies closest to full-length 16S [19].</w:t>
      </w:r>
    </w:p>
    <w:p>
      <w:pPr>
        <w:pStyle w:val="ListBullet"/>
      </w:pPr>
      <w:r>
        <w:t>Report primers, region, amplicon length, indexing, polymerase, cycles, platform, chemistry/kit version, samples-per-run and PhiX spike-in [18, 19].</w:t>
      </w:r>
    </w:p>
    <w:p>
      <w:pPr>
        <w:pStyle w:val="Heading1"/>
      </w:pPr>
      <w:r>
        <w:t>4. Bioinformatics: reads → ASV table</w:t>
      </w:r>
    </w:p>
    <w:p>
      <w:pPr>
        <w:pStyle w:val="ListNumber"/>
      </w:pPr>
      <w:r>
        <w:t>Remove primers/adapters (cutadapt).</w:t>
      </w:r>
    </w:p>
    <w:p>
      <w:pPr>
        <w:pStyle w:val="ListNumber"/>
      </w:pPr>
      <w:r>
        <w:t>Inspect quality; choose truncation lengths preserving enough overlap to merge pairs. Report parameters.</w:t>
      </w:r>
    </w:p>
    <w:p>
      <w:pPr>
        <w:pStyle w:val="ListNumber"/>
      </w:pPr>
      <w:r>
        <w:t>Denoise to ASVs with DADA2 or Deblur — PER sequencing run (run-specific error model), then merge tables [1, 2].</w:t>
      </w:r>
    </w:p>
    <w:p>
      <w:pPr>
        <w:pStyle w:val="ListNumber"/>
      </w:pPr>
      <w:r>
        <w:t>Assign taxonomy with a naïve-Bayes classifier trained on your primer region, against SILVA 138.x [4] or Greengenes2 [5]; report database + version.</w:t>
      </w:r>
    </w:p>
    <w:p>
      <w:pPr>
        <w:pStyle w:val="ListNumber"/>
      </w:pPr>
      <w:r>
        <w:t>Build phylogeny by fragment insertion (SEPP) for UniFrac [6].</w:t>
      </w:r>
    </w:p>
    <w:p>
      <w:pPr>
        <w:pStyle w:val="ListNumber"/>
      </w:pPr>
      <w:r>
        <w:t>Filter non-target lineages: chloroplast, mitochondria, Eukaryota, domain-unassigned features [19].</w:t>
      </w:r>
    </w:p>
    <w:p>
      <w:pPr>
        <w:pStyle w:val="Heading1"/>
      </w:pPr>
      <w:r>
        <w:t>5. Contamination control and table QC</w:t>
      </w:r>
    </w:p>
    <w:p>
      <w:pPr>
        <w:pStyle w:val="ListBullet"/>
      </w:pPr>
      <w:r>
        <w:t>Decontaminate using sequenced blanks (decontam prevalence/frequency methods); report ASVs/reads removed [7].</w:t>
      </w:r>
    </w:p>
    <w:p>
      <w:pPr>
        <w:pStyle w:val="ListBullet"/>
      </w:pPr>
      <w:r>
        <w:t>Validate against the mock community: report observed vs expected [19].</w:t>
      </w:r>
    </w:p>
    <w:p>
      <w:pPr>
        <w:pStyle w:val="ListBullet"/>
      </w:pPr>
      <w:r>
        <w:t>Prevalence/low-count filtering with a justified threshold, as applied before DA testing in benchmark studies [14, 15].</w:t>
      </w:r>
    </w:p>
    <w:p>
      <w:pPr>
        <w:pStyle w:val="ListBullet"/>
      </w:pPr>
      <w:r>
        <w:t>Report read/ASV counts at every filtering step.</w:t>
      </w:r>
    </w:p>
    <w:p>
      <w:pPr>
        <w:pStyle w:val="Heading1"/>
      </w:pPr>
      <w:r>
        <w:t>6. Normalisation — current thinking</w:t>
      </w:r>
    </w:p>
    <w:p>
      <w:r>
        <w:rPr>
          <w:b/>
          <w:i w:val="0"/>
        </w:rPr>
        <w:t>No universal consensus; reviewers expect a justified choice plus a robustness check [9].</w:t>
      </w:r>
    </w:p>
    <w:p>
      <w:pPr>
        <w:pStyle w:val="ListBullet"/>
      </w:pPr>
      <w:r>
        <w:t>Rarefaction: acceptable for alpha/beta-diversity when depth varies, but it discards data and drops low-depth samples, and has been argued statistically inadmissible [8]. Choose depth from rarefaction curves and report samples lost.</w:t>
      </w:r>
    </w:p>
    <w:p>
      <w:pPr>
        <w:pStyle w:val="ListBullet"/>
      </w:pPr>
      <w:r>
        <w:t>Compositional / model-based alternatives: CLR + Aitchison distance, or method-internal normalisation (ALDEx2 = CLR [11]; DESeq2/edgeR/CSS scalings). Some benchmarked DA methods require RAW counts because normalisation is part of the model [15].</w:t>
      </w:r>
    </w:p>
    <w:p>
      <w:pPr>
        <w:pStyle w:val="ListBullet"/>
      </w:pPr>
      <w:r>
        <w:t>Reviewer-proof strategy: run the main beta-diversity result under both a rarefied and a compositional approach and confirm the conclusion holds [9].</w:t>
      </w:r>
    </w:p>
    <w:p>
      <w:pPr>
        <w:pStyle w:val="Heading1"/>
      </w:pPr>
      <w:r>
        <w:t>7. Diversity and community-level statistics</w:t>
      </w:r>
    </w:p>
    <w:p>
      <w:r>
        <w:rPr>
          <w:b/>
          <w:i w:val="0"/>
        </w:rPr>
        <w:t>Alpha diversity:</w:t>
      </w:r>
    </w:p>
    <w:p>
      <w:pPr>
        <w:pStyle w:val="ListBullet"/>
      </w:pPr>
      <w:r>
        <w:t>Report complementary indices: observed richness, Shannon, Faith’s PD (phylogenetic) [19].</w:t>
      </w:r>
    </w:p>
    <w:p>
      <w:pPr>
        <w:pStyle w:val="ListBullet"/>
      </w:pPr>
      <w:r>
        <w:t>Model with the design: (generalised) linear mixed models with fixed factors (species, tissue, site, diet) and random effects (individual, run/batch).</w:t>
      </w:r>
    </w:p>
    <w:p>
      <w:r>
        <w:rPr>
          <w:b/>
          <w:i w:val="0"/>
        </w:rPr>
        <w:t>Beta diversity:</w:t>
      </w:r>
    </w:p>
    <w:p>
      <w:pPr>
        <w:pStyle w:val="ListBullet"/>
      </w:pPr>
      <w:r>
        <w:t>Use several distances: Bray–Curtis (abundance) plus weighted and unweighted UniFrac (phylogenetic) [10].</w:t>
      </w:r>
    </w:p>
    <w:p>
      <w:pPr>
        <w:pStyle w:val="ListBullet"/>
      </w:pPr>
      <w:r>
        <w:t>Ordinate (PCoA/NMDS); test with PERMANOVA (adonis2), reporting pseudo-F, R², p, permutations.</w:t>
      </w:r>
    </w:p>
    <w:p>
      <w:pPr>
        <w:pStyle w:val="ListBullet"/>
      </w:pPr>
      <w:r>
        <w:t>ALWAYS pair PERMANOVA with PERMDISP (betadisper): a significant PERMANOVA can reflect unequal within-group dispersion rather than a location shift — a standard reviewer expectation and the most common omission in older-style analyses.</w:t>
      </w:r>
    </w:p>
    <w:p>
      <w:pPr>
        <w:pStyle w:val="ListBullet"/>
      </w:pPr>
      <w:r>
        <w:t>Adjust for confounders (batch/run, read depth, sex/reproductive status) and correct pairwise post-hoc tests for multiple comparisons [16].</w:t>
      </w:r>
    </w:p>
    <w:p>
      <w:pPr>
        <w:pStyle w:val="Heading1"/>
      </w:pPr>
      <w:r>
        <w:t>8. Differential abundance — the biggest methodological shift</w:t>
      </w:r>
    </w:p>
    <w:p>
      <w:r>
        <w:rPr>
          <w:b/>
          <w:i w:val="0"/>
        </w:rPr>
        <w:t>Consensus from recent benchmarks: no single method is universally best; run several and report the agreement [14, 15, 16].</w:t>
      </w:r>
    </w:p>
    <w:p>
      <w:pPr>
        <w:pStyle w:val="ListBullet"/>
      </w:pPr>
      <w:r>
        <w:t>Method choice: compositionally-aware / bias-corrected methods are preferred — ALDEx2 [11] and ANCOM-BC [12] as conservative standards, with MaAsLin2 [13] as a more powerful complement. Nearing et al., benchmarking 14 methods over 38 datasets, recommend ALDEx2/ANCOM for consistency [14].</w:t>
      </w:r>
    </w:p>
    <w:p>
      <w:pPr>
        <w:pStyle w:val="ListBullet"/>
      </w:pPr>
      <w:r>
        <w:t>Run ≥2 methods and report the consensus of significant taxa, because tools identify drastically different sets and results depend on pre-processing [14]; note that a realistic confounder-aware benchmark finds simpler tests often more replicable, reinforcing multi-method reporting [16].</w:t>
      </w:r>
    </w:p>
    <w:p>
      <w:pPr>
        <w:pStyle w:val="ListBullet"/>
      </w:pPr>
      <w:r>
        <w:t>Report effect direction, test statistic, and FDR correction; interpret low-abundance "significant" taxa cautiously.</w:t>
      </w:r>
    </w:p>
    <w:p>
      <w:pPr>
        <w:pStyle w:val="Heading1"/>
      </w:pPr>
      <w:r>
        <w:t>9. Predicted function — with explicit caveats</w:t>
      </w:r>
    </w:p>
    <w:p>
      <w:pPr>
        <w:pStyle w:val="ListBullet"/>
      </w:pPr>
      <w:r>
        <w:t>Use PICRUSt2 (or Tax4Fun2) to infer KEGG/MetaCyc gene and pathway content from 16S [17].</w:t>
      </w:r>
    </w:p>
    <w:p>
      <w:pPr>
        <w:pStyle w:val="ListBullet"/>
      </w:pPr>
      <w:r>
        <w:t>Report weighted NSTI (mean ± sd); consider excluding high-NSTI ASVs [17].</w:t>
      </w:r>
    </w:p>
    <w:p>
      <w:pPr>
        <w:pStyle w:val="ListBullet"/>
      </w:pPr>
      <w:r>
        <w:t>State that these are PREDICTIONS, to be confirmed by shotgun metagenomics/metatranscriptomics — not evidence of realised metabolic activity.</w:t>
      </w:r>
    </w:p>
    <w:p>
      <w:pPr>
        <w:pStyle w:val="Heading1"/>
      </w:pPr>
      <w:r>
        <w:t>10. Reproducibility and reporting checklist</w:t>
      </w:r>
    </w:p>
    <w:p>
      <w:pPr>
        <w:pStyle w:val="ListBullet"/>
      </w:pPr>
      <w:r>
        <w:t>Software AND versions for every step (QIIME 2 release, DADA2, classifier, SILVA/Greengenes2 version, PICRUSt2, R packages).</w:t>
      </w:r>
    </w:p>
    <w:p>
      <w:pPr>
        <w:pStyle w:val="ListBullet"/>
      </w:pPr>
      <w:r>
        <w:t>Exact parameters: primers, truncation lengths, filtering thresholds, rarefaction depth (if any), permutation counts.</w:t>
      </w:r>
    </w:p>
    <w:p>
      <w:pPr>
        <w:pStyle w:val="ListBullet"/>
      </w:pPr>
      <w:r>
        <w:t>Raw reads deposited (SRA/ENA) with accession; per-sample metadata in MIxS (Genome Standards Consortium) format.</w:t>
      </w:r>
    </w:p>
    <w:p>
      <w:pPr>
        <w:pStyle w:val="ListBullet"/>
      </w:pPr>
      <w:r>
        <w:t>Negative + positive controls sequenced, described, and used for decontamination.</w:t>
      </w:r>
    </w:p>
    <w:p>
      <w:pPr>
        <w:pStyle w:val="ListBullet"/>
      </w:pPr>
      <w:r>
        <w:t>Read/ASV counts at each filtering step.</w:t>
      </w:r>
    </w:p>
    <w:p>
      <w:pPr>
        <w:pStyle w:val="ListBullet"/>
      </w:pPr>
      <w:r>
        <w:t>Analysis code/notebook shared (GitHub/Zenodo).</w:t>
      </w:r>
    </w:p>
    <w:p>
      <w:pPr>
        <w:pStyle w:val="ListBullet"/>
      </w:pPr>
      <w:r>
        <w:t>Conclusions shown robust to normalisation and to DA-method choice.</w:t>
      </w:r>
    </w:p>
    <w:p>
      <w:pPr>
        <w:pStyle w:val="Heading1"/>
      </w:pPr>
      <w:r>
        <w:t>References</w:t>
      </w:r>
    </w:p>
    <w:p>
      <w:r>
        <w:rPr>
          <w:b w:val="0"/>
          <w:i w:val="0"/>
        </w:rPr>
        <w:t>1. Benjamin J. Callahan, Paul J. McMurdie, Michael Rosen, Andrew Han, Amy Jo A Johnson, Susan Holmes (2016) DADA2: High-resolution sample inference from Illumina amplicon data. Nature Methods 13(7):581–583. doi:10.1038/nmeth.3869</w:t>
      </w:r>
    </w:p>
    <w:p>
      <w:r>
        <w:rPr>
          <w:b w:val="0"/>
          <w:i w:val="0"/>
        </w:rPr>
        <w:t>2. Amnon Amir, Daniel McDonald, José A. Navas-Molina, Evguenia Kopylova, James T. Morton, Zhenjiang Zech Xu, et al. (2017) Deblur Rapidly Resolves Single-Nucleotide Community Sequence Patterns. mSystems 2(2). doi:10.1128/msystems.00191-16</w:t>
      </w:r>
    </w:p>
    <w:p>
      <w:r>
        <w:rPr>
          <w:b w:val="0"/>
          <w:i w:val="0"/>
        </w:rPr>
        <w:t>3. Benjamin J. Callahan, Paul J. McMurdie, Susan Holmes (2017) Exact sequence variants should replace operational taxonomic units in marker-gene data analysis. The ISME Journal 11(12):2639–2643. doi:10.1038/ismej.2017.119</w:t>
      </w:r>
    </w:p>
    <w:p>
      <w:r>
        <w:rPr>
          <w:b w:val="0"/>
          <w:i w:val="0"/>
        </w:rPr>
        <w:t>4. Christian Quast, Elmar Pruesse, Pelin Yilmaz, Jan Gerken, Timmy Schweer, Pablo Yarza, et al. (2012) The SILVA ribosomal RNA gene database project: improved data processing and web-based tools. Nucleic Acids Research 41(D1):D590–D596. doi:10.1093/nar/gks1219</w:t>
      </w:r>
    </w:p>
    <w:p>
      <w:r>
        <w:rPr>
          <w:b w:val="0"/>
          <w:i w:val="0"/>
        </w:rPr>
        <w:t>5. Daniel McDonald, Yueyu Jiang, Metin Balaban, Kalen Cantrell, Qiyun Zhu, Antonio González, et al. (2023) Greengenes2 unifies microbial data in a single reference tree. Nature Biotechnology 42(5):715–718. doi:10.1038/s41587-023-01845-1</w:t>
      </w:r>
    </w:p>
    <w:p>
      <w:r>
        <w:rPr>
          <w:b w:val="0"/>
          <w:i w:val="0"/>
        </w:rPr>
        <w:t>6. Stefan Janssen, Daniel McDonald, Antonio González, José A. Navas-Molina, Lingjing Jiang, Zhenjiang Zech Xu, et al. (2018) Phylogenetic Placement of Exact Amplicon Sequences Improves Associations with Clinical Information. mSystems 3(3). doi:10.1128/msystems.00021-18</w:t>
      </w:r>
    </w:p>
    <w:p>
      <w:r>
        <w:rPr>
          <w:b w:val="0"/>
          <w:i w:val="0"/>
        </w:rPr>
        <w:t>7. Nicole M. Davis, Diana M. Proctor, Susan Holmes, David A. Relman, Benjamin J. Callahan (2018) Simple statistical identification and removal of contaminant sequences in marker-gene and metagenomics data. Microbiome 6(1):226–226. doi:10.1186/s40168-018-0605-2</w:t>
      </w:r>
    </w:p>
    <w:p>
      <w:r>
        <w:rPr>
          <w:b w:val="0"/>
          <w:i w:val="0"/>
        </w:rPr>
        <w:t>8. Paul J. McMurdie, Susan Holmes (2014) Waste Not, Want Not: Why Rarefying Microbiome Data Is Inadmissible. PLoS Computational Biology 10(4):e1003531–e1003531. doi:10.1371/journal.pcbi.1003531</w:t>
      </w:r>
    </w:p>
    <w:p>
      <w:r>
        <w:rPr>
          <w:b w:val="0"/>
          <w:i w:val="0"/>
        </w:rPr>
        <w:t>9. Sophie Weiss, Zhenjiang Zech Xu, Shyamal D. Peddada, Amnon Amir, Kyle Bittinger, Antonio González, et al. (2017) Normalization and microbial differential abundance strategies depend upon data characteristics. Microbiome 5(1):27–27. doi:10.1186/s40168-017-0237-y</w:t>
      </w:r>
    </w:p>
    <w:p>
      <w:r>
        <w:rPr>
          <w:b w:val="0"/>
          <w:i w:val="0"/>
        </w:rPr>
        <w:t>10. Catherine Lozupone, Rob Knight (2005) UniFrac: a New Phylogenetic Method for Comparing Microbial Communities. Applied and Environmental Microbiology 71(12):8228–8235. doi:10.1128/aem.71.12.8228-8235.2005</w:t>
      </w:r>
    </w:p>
    <w:p>
      <w:r>
        <w:rPr>
          <w:b w:val="0"/>
          <w:i w:val="0"/>
        </w:rPr>
        <w:t>11. Andrew D. Fernandes, Jennifer Reid, Jean M. Macklaim, Thomas A McMurrough, David R. Edgell, Gregory B. Gloor (2014) Unifying the analysis of high-throughput sequencing datasets: characterizing RNA-seq, 16S rRNA gene sequencing and selective growth experiments by compositional data analysis. Microbiome 2(1):15–15. doi:10.1186/2049-2618-2-15</w:t>
      </w:r>
    </w:p>
    <w:p>
      <w:r>
        <w:rPr>
          <w:b w:val="0"/>
          <w:i w:val="0"/>
        </w:rPr>
        <w:t>12. Lin Huang, Shyamal Peddada (2020) Analysis of compositions of microbiomes with bias correction. Nature Communications 11(1):3514–3514. doi:10.1038/s41467-020-17041-7</w:t>
      </w:r>
    </w:p>
    <w:p>
      <w:r>
        <w:rPr>
          <w:b w:val="0"/>
          <w:i w:val="0"/>
        </w:rPr>
        <w:t>13. Himel Mallick, Ali Rahnavard, Lauren J. McIver, Siyuan Ma, Yancong Zhang, Long H. Nguyen, et al. (2021) Multivariable association discovery in population-scale meta-omics studies. PLoS Computational Biology 17(11):e1009442–e1009442. doi:10.1371/journal.pcbi.1009442</w:t>
      </w:r>
    </w:p>
    <w:p>
      <w:r>
        <w:rPr>
          <w:b w:val="0"/>
          <w:i w:val="0"/>
        </w:rPr>
        <w:t>14. Jacob T. Nearing, Gavin M. Douglas, Molly G. Hayes, Jocelyn MacDonald, Dhwani Desai, Nicole E. Allward, et al. (2022) Microbiome differential abundance methods produce different results across 38 datasets. Nature Communications 13(1):342–342. doi:10.1038/s41467-022-28034-z</w:t>
      </w:r>
    </w:p>
    <w:p>
      <w:r>
        <w:rPr>
          <w:b w:val="0"/>
          <w:i w:val="0"/>
        </w:rPr>
        <w:t>15. Marco Cappellato, Giacomo Baruzzo, Barbara Di Camillo (2022) Investigating differential abundance methods in microbiome data: A benchmark study. PLoS Computational Biology 18(9):e1010467–e1010467. doi:10.1371/journal.pcbi.1010467</w:t>
      </w:r>
    </w:p>
    <w:p>
      <w:r>
        <w:rPr>
          <w:b w:val="0"/>
          <w:i w:val="0"/>
        </w:rPr>
        <w:t>16. Jakob Wirbel, Morgan Essex, Sofia K. Forslund, Georg Zeller (2024) A realistic benchmark for differential abundance testing and confounder adjustment in human microbiome studies. Genome biology 25(1):247–247. doi:10.1186/s13059-024-03390-9</w:t>
      </w:r>
    </w:p>
    <w:p>
      <w:r>
        <w:rPr>
          <w:b w:val="0"/>
          <w:i w:val="0"/>
        </w:rPr>
        <w:t>17. Gavin M. Douglas, Vincent J. Maffei, Jesse Zaneveld, Svetlana N. Yurgel, James R. Brown, Christopher M. Taylor, et al. (2020) PICRUSt2 for prediction of metagenome functions. Nature Biotechnology 38(6):685–688. doi:10.1038/s41587-020-0548-6</w:t>
      </w:r>
    </w:p>
    <w:p>
      <w:r>
        <w:rPr>
          <w:b w:val="0"/>
          <w:i w:val="0"/>
        </w:rPr>
        <w:t>18. Evan Bolyen, Jai Ram Rideout, Matthew R. Dillon, Nicholas A. Bokulich, Christian C. Abnet, Gabriel A. Al‐Ghalith, et al. (2019) Reproducible, interactive, scalable and extensible microbiome data science using QIIME 2. Nature Biotechnology 37(8):852–857. doi:10.1038/s41587-019-0209-9</w:t>
      </w:r>
    </w:p>
    <w:p>
      <w:r>
        <w:rPr>
          <w:b w:val="0"/>
          <w:i w:val="0"/>
        </w:rPr>
        <w:t>19. Leigh Combrink, Ian R. Humphreys, Quinn Washburn, Holly K. Arnold, Keaton Stagaman, Kristin D. Kasschau, et al. (2023) Best practice for wildlife gut microbiome research: A comprehensive review of methodology for 16S rRNA gene investigations. Frontiers in Microbiology 14:1092216–1092216. doi:10.3389/fmicb.2023.1092216</w:t>
      </w:r>
    </w:p>
    <w:p>
      <w:r>
        <w:rPr>
          <w:b w:val="0"/>
          <w:i/>
        </w:rPr>
        <w:t>Note: this synthesis reflects general field best practice as of 2022–2025; verify specific requirements against your target journal’s methodology checklist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