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 editorial review and suggested rewrite</w:t>
      </w:r>
    </w:p>
    <w:p>
      <w:r>
        <w:rPr>
          <w:b w:val="0"/>
          <w:i/>
        </w:rPr>
        <w:t>Manuscript: “Microbiota divergence between interbreeding species is environmental context-dependent.” Target journal: Animal Microbiome. This file accompanies the in-chat review; it contains (A) the paragraph-by-paragraph notes in brief and (B) a clean, line-edited rewrite of the Introduction.</w:t>
      </w:r>
    </w:p>
    <w:p>
      <w:pPr>
        <w:pStyle w:val="Heading1"/>
      </w:pPr>
      <w:r>
        <w:t>A. Priority fixes (summary)</w:t>
      </w:r>
    </w:p>
    <w:p>
      <w:pPr>
        <w:pStyle w:val="ListBullet"/>
      </w:pPr>
      <w:r>
        <w:t>Language edit needed throughout: subject–verb agreement, wrong words (underlining→underlying, nutriments→nutrients, exposition→exposure, thank to→thanks to, endemic from→endemic to, since a century→for a century, dynamic→dynamics), missing articles/plurals, and awkward calques.</w:t>
      </w:r>
    </w:p>
    <w:p>
      <w:pPr>
        <w:pStyle w:val="ListBullet"/>
      </w:pPr>
      <w:r>
        <w:t>Remove stray numbered citation '[7]' in Paragraph 1 (manuscript is otherwise author–date).</w:t>
      </w:r>
    </w:p>
    <w:p>
      <w:pPr>
        <w:pStyle w:val="ListBullet"/>
      </w:pPr>
      <w:r>
        <w:t>State the knowledge gap explicitly at the end of Paragraph 1.</w:t>
      </w:r>
    </w:p>
    <w:p>
      <w:pPr>
        <w:pStyle w:val="ListBullet"/>
      </w:pPr>
      <w:r>
        <w:t>Define 'transgressive phenotype' at first use (Paragraph 2).</w:t>
      </w:r>
    </w:p>
    <w:p>
      <w:pPr>
        <w:pStyle w:val="ListBullet"/>
      </w:pPr>
      <w:r>
        <w:t>Hedge causal claims about microbiota and post-zygotic isolation (Paragraph 2).</w:t>
      </w:r>
    </w:p>
    <w:p>
      <w:pPr>
        <w:pStyle w:val="ListBullet"/>
      </w:pPr>
      <w:r>
        <w:t>Soften the gill=immune / gut=diet dichotomy to 'predominantly' (Paragraph 4).</w:t>
      </w:r>
    </w:p>
    <w:p>
      <w:pPr>
        <w:pStyle w:val="ListBullet"/>
      </w:pPr>
      <w:r>
        <w:t>Foreground the three-site anthropization gradient as the study's novelty.</w:t>
      </w:r>
    </w:p>
    <w:p>
      <w:pPr>
        <w:pStyle w:val="ListBullet"/>
      </w:pPr>
      <w:r>
        <w:t>Split over-long sentences (P1 has a 53-word sentence; P3 a 51-word run-on sentence — both now split); rebalance the very long P1 (321 words) against the short P5 (81 words).</w:t>
      </w:r>
    </w:p>
    <w:p>
      <w:pPr>
        <w:pStyle w:val="ListBullet"/>
      </w:pPr>
      <w:r>
        <w:t>Clarify that hybridization incidence (habitat-independent) and microbiota divergence (hypothesised habitat-dependent) are distinct (Paragraph 3).</w:t>
      </w:r>
    </w:p>
    <w:p>
      <w:pPr>
        <w:pStyle w:val="ListBullet"/>
      </w:pPr>
      <w:r>
        <w:t>Signal that functional profiles are PREDICTED (PICRUSt), not measured.</w:t>
      </w:r>
    </w:p>
    <w:p>
      <w:pPr>
        <w:pStyle w:val="Heading1"/>
      </w:pPr>
      <w:r>
        <w:t>B. Suggested rewrite (drop-in; substantive changes flagged in [brackets])</w:t>
      </w:r>
    </w:p>
    <w:p>
      <w:r>
        <w:rPr>
          <w:b w:val="0"/>
          <w:i/>
        </w:rPr>
        <w:t>Note: author–date citations are kept as in your draft; they will be converted to BMC numbered style separately. Bracketed italic notes mark where the change is scientific, not just linguistic — accept or reject each.</w:t>
      </w:r>
    </w:p>
    <w:p>
      <w:r>
        <w:rPr>
          <w:b/>
          <w:i w:val="0"/>
        </w:rPr>
        <w:t>Background — paragraph 1</w:t>
      </w:r>
    </w:p>
    <w:p>
      <w:r>
        <w:rPr>
          <w:b w:val="0"/>
          <w:i w:val="0"/>
        </w:rPr>
        <w:t>Specific patterns of association between macro-organisms and the microbial communities they harbour — their microbiota — point to long shared co-evolutionary histories (Wang et al., 2015; Shapira, 2016; Knowles, Eccles &amp; Baltrūnaitė, 2019). The microbiota plays critical roles in host performance, including maturation and activation of the immune system, assimilation of nutrients, synthesis of vitamins, and degradation of xenobiotics (Fuhrman, 2009; Tremaroli &amp; Bäckhed, 2012). Together, host and microbiota form a single biological unit, the holobiont, in which microbial community composition is a determinant of host fitness and adaptation to environmental constraints (Bordenstein &amp; Theis, 2015). These associations can be maintained across generations through vertical transmission, but they are established mainly by the sorting of microbial pools from the surrounding environment (environmental transmission). Such sorting reflects host ecology and physiology — for example feeding behaviour, which selects among available dietary resources, and immune pathways underlying tolerance or resistance to microbes (Shropshire &amp; Bordenstein, 2016; Shapira, 2016; Adair &amp; Douglas, 2017). Environmental transmission is especially important in fish, which live in an aqueous medium favourable to bacterial growth and are continuously exposed to microbes at their epithelial barriers. Moreover, most fish are oviparous with limited maternal effects compared with mammals, so the surrounding environment has a predominant role in bacterial colonization of the mucosal tissues (Llewellyn et al., 2014). Accordingly, recent work on wild fish populations has highlighted the predominant environmental component of variation in bacterial composition (Sevellec et al., 2014; Smith et al., 2015; Chiarello et al., 2018). [SCIENCE — gap statement:] It remains unclear, however, whether host species identity still shapes the microbiota when two species share the same water and dietary resources: independent evolutionary histories could impose different selective processes and generate divergent, functionally distinct microbiota even under a common environment (Sevellec, Derome &amp; Bernatchez, 2018).</w:t>
      </w:r>
    </w:p>
    <w:p>
      <w:r>
        <w:rPr>
          <w:b/>
          <w:i w:val="0"/>
        </w:rPr>
        <w:t>Background — paragraph 2</w:t>
      </w:r>
    </w:p>
    <w:p>
      <w:r>
        <w:rPr>
          <w:b w:val="0"/>
          <w:i w:val="0"/>
        </w:rPr>
        <w:t>Microbiota divergence between species is particularly relevant in secondary hybrid zones. Microbiota composition and the host functions it supports may contribute to post-zygotic isolation and could act as a barrier to interspecific gene flow. Introgressive hybridization can disrupt co-adapted gene complexes and thereby alter the close host–microbe interactions, with deleterious effects on host performance (Wang et al., 2015). Conversely, hybridization can be a source of genomic diversity and adaptive novelty, and therefore plays key roles in ecological and evolutionary processes such as speciation and range expansion into enlarged ecological niches (Pfennig, Kelly &amp; Pierce, 2016; Schumer et al., 2018). This genomic diversity may extend to the hologenome through the capture of new microbial taxa and a rearrangement of the microbiota, producing a transgressive phenotype — one that exceeds the range of both parental species. [SCIENCE — hedge + definition added.] These two contrasting outcomes of hybridization are expected to be context-dependent and to generate a mosaic of hybrid zones (Seehausen et al., 2008).</w:t>
      </w:r>
    </w:p>
    <w:p>
      <w:r>
        <w:rPr>
          <w:b/>
          <w:i w:val="0"/>
        </w:rPr>
        <w:t>Background — paragraph 3</w:t>
      </w:r>
    </w:p>
    <w:p>
      <w:r>
        <w:rPr>
          <w:b w:val="0"/>
          <w:i w:val="0"/>
        </w:rPr>
        <w:t>Such a mosaic hybrid-zone pattern has been described for two cyprinid species, Parachondrostoma toxostoma (the toxostome; hereafter Pt) and Chondrostoma nasus (the nase; hereafter Cn), in the French Rhône basin (Costedoat et al., 2005). Pt is endemic to southern France, occurring in the Rhône, Garonne, Aude and Hérault basins. Cn originates from Central Europe and was introduced into the Rhône basin following the construction of navigable waterway connections across Europe during the last century (Gilles, 1998). Their distributions have therefore partially overlapped in the Rhône basin for about a century. In the patchily distributed sympatric areas of the basin, hybridization has been detected (Costedoat et al., 2005; Sinama et al., 2013; Guivier et al., 2019), but its incidence is unrelated to habitat characteristics. Hybrids occur in contrasting habitats: the unmanaged Ardèche River, the highly regulated upstream Buëch of the Durance, and the artificial hydroelectric canal (Edf-Canal) running alongside and connected to the Durance (Guivier et al., 2019). [SCIENCE — clarifies that hybridization incidence is habitat-independent, distinct from the microbiota question.]</w:t>
      </w:r>
    </w:p>
    <w:p>
      <w:r>
        <w:rPr>
          <w:b/>
          <w:i w:val="0"/>
        </w:rPr>
        <w:t>Background — paragraph 4</w:t>
      </w:r>
    </w:p>
    <w:p>
      <w:r>
        <w:rPr>
          <w:b w:val="0"/>
          <w:i w:val="0"/>
        </w:rPr>
        <w:t>We investigated microbiota divergence between Pt and Cn as a function of the environment, across three sympatric areas (Ardèche, Buëch and Edf-Canal) that differ in their degree of anthropization. [SCIENCE — this multi-site gradient is the study's main advance and is now foregrounded.] Independently at each site, we examined the host effect on the taxonomic and predicted functional diversity of the bacterial communities associated with the gills (external tissue) and the midgut (internal tissue) of the two species. We focused on these two compartments because they differ in their degree of contact with the surrounding environment. The gills are respiratory and excretory organs whose structure maximizes exchange with the surrounding water, so their microbiota is expected to be shaped predominantly by host immune selection. The gut, by contrast, is separated from environmental resources by filters such as dietary behaviour, which is the main host filter on gut microbial composition. As proposed by Friberg et al. (2019), contrasting the microbiota of these two tissues should help disentangle the relative roles of host immune genes and dietary regime in microbiota divergence across sympatric areas.</w:t>
      </w:r>
    </w:p>
    <w:p>
      <w:r>
        <w:rPr>
          <w:b/>
          <w:i w:val="0"/>
        </w:rPr>
        <w:t>Background — paragraph 5 (hypotheses)</w:t>
      </w:r>
    </w:p>
    <w:p>
      <w:r>
        <w:rPr>
          <w:b w:val="0"/>
          <w:i w:val="0"/>
        </w:rPr>
        <w:t>We hypothesized that local environmental features — such as exposure to pathogens and the availability of dietary resources — influence the level of compositional dissimilarity between the microbiota of the two interbreeding species, reflecting the degree to which their ecological niches overlap at each locality. In addition, by identifying introgressed hybrid specimens, we assessed the impact of hybridization on the taxonomic and predicted functional features of the associated microbiota, and its evolutionary consequences for the spatial maintenance of post-zygotic barriers and the dynamics of mosaic hybrid zones.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