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Submission-readiness package — Animal Microbiome (Research article)</w:t>
      </w:r>
    </w:p>
    <w:p>
      <w:r>
        <w:rPr>
          <w:b w:val="0"/>
          <w:i/>
        </w:rPr>
        <w:t>Manuscript: “Microbiota divergence between interbreeding species is environmental context-dependent: impact on mosaic hybrid zones.” Guivier E., Pech N., Martin J.-F., Chappaz R., Gilles A.</w:t>
      </w:r>
    </w:p>
    <w:p>
      <w:r>
        <w:rPr>
          <w:b w:val="0"/>
          <w:i/>
        </w:rPr>
        <w:t>Target journal: Animal Microbiome (Springer Nature / BMC). Article type assessed: Research. Guidelines checked against the journal’s “Preparing your manuscript” pages.</w:t>
      </w:r>
    </w:p>
    <w:p>
      <w:pPr>
        <w:pStyle w:val="Heading1"/>
      </w:pPr>
      <w:r>
        <w:t>1. Compliance checklist: current manuscript vs. Animal Microbiome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AM rule</w:t>
            </w:r>
          </w:p>
        </w:tc>
        <w:tc>
          <w:tcPr>
            <w:tcW w:type="dxa" w:w="2160"/>
          </w:tcPr>
          <w:p>
            <w:r>
              <w:t>Status in your draft</w:t>
            </w:r>
          </w:p>
        </w:tc>
        <w:tc>
          <w:tcPr>
            <w:tcW w:type="dxa" w:w="2160"/>
          </w:tcPr>
          <w:p>
            <w:r>
              <w:t>Action needed</w:t>
            </w:r>
          </w:p>
        </w:tc>
      </w:tr>
      <w:tr>
        <w:tc>
          <w:tcPr>
            <w:tcW w:type="dxa" w:w="2160"/>
          </w:tcPr>
          <w:p>
            <w:r>
              <w:t>Structured abstract</w:t>
            </w:r>
          </w:p>
        </w:tc>
        <w:tc>
          <w:tcPr>
            <w:tcW w:type="dxa" w:w="2160"/>
          </w:tcPr>
          <w:p>
            <w:r>
              <w:t>≤350 words; separate sections Background / Results / Conclusions; no references; minimize abbreviations</w:t>
            </w:r>
          </w:p>
        </w:tc>
        <w:tc>
          <w:tcPr>
            <w:tcW w:type="dxa" w:w="2160"/>
          </w:tcPr>
          <w:p>
            <w:r>
              <w:t>MISSING — no abstract present</w:t>
            </w:r>
          </w:p>
        </w:tc>
        <w:tc>
          <w:tcPr>
            <w:tcW w:type="dxa" w:w="2160"/>
          </w:tcPr>
          <w:p>
            <w:r>
              <w:t>Add structured abstract (draft provided in §2)</w:t>
            </w:r>
          </w:p>
        </w:tc>
      </w:tr>
      <w:tr>
        <w:tc>
          <w:tcPr>
            <w:tcW w:type="dxa" w:w="2160"/>
          </w:tcPr>
          <w:p>
            <w:r>
              <w:t>Section: Background</w:t>
            </w:r>
          </w:p>
        </w:tc>
        <w:tc>
          <w:tcPr>
            <w:tcW w:type="dxa" w:w="2160"/>
          </w:tcPr>
          <w:p>
            <w:r>
              <w:t>First section must be headed 'Background' (not 'Introduction')</w:t>
            </w:r>
          </w:p>
        </w:tc>
        <w:tc>
          <w:tcPr>
            <w:tcW w:type="dxa" w:w="2160"/>
          </w:tcPr>
          <w:p>
            <w:r>
              <w:t>Present but titled 'Introduction'</w:t>
            </w:r>
          </w:p>
        </w:tc>
        <w:tc>
          <w:tcPr>
            <w:tcW w:type="dxa" w:w="2160"/>
          </w:tcPr>
          <w:p>
            <w:r>
              <w:t>Rename 'Introduction' → 'Background'</w:t>
            </w:r>
          </w:p>
        </w:tc>
      </w:tr>
      <w:tr>
        <w:tc>
          <w:tcPr>
            <w:tcW w:type="dxa" w:w="2160"/>
          </w:tcPr>
          <w:p>
            <w:r>
              <w:t>Section order</w:t>
            </w:r>
          </w:p>
        </w:tc>
        <w:tc>
          <w:tcPr>
            <w:tcW w:type="dxa" w:w="2160"/>
          </w:tcPr>
          <w:p>
            <w:r>
              <w:t>Background → Methods → Results → Discussion → Conclusions (Results/Discussion may be combined)</w:t>
            </w:r>
          </w:p>
        </w:tc>
        <w:tc>
          <w:tcPr>
            <w:tcW w:type="dxa" w:w="2160"/>
          </w:tcPr>
          <w:p>
            <w:r>
              <w:t>Introduction → Materials and Methods → Results → Discussion</w:t>
            </w:r>
          </w:p>
        </w:tc>
        <w:tc>
          <w:tcPr>
            <w:tcW w:type="dxa" w:w="2160"/>
          </w:tcPr>
          <w:p>
            <w:r>
              <w:t>Add a 'Conclusions' section; heading 'Materials and Methods' is acceptable as 'Methods'</w:t>
            </w:r>
          </w:p>
        </w:tc>
      </w:tr>
      <w:tr>
        <w:tc>
          <w:tcPr>
            <w:tcW w:type="dxa" w:w="2160"/>
          </w:tcPr>
          <w:p>
            <w:r>
              <w:t>Conclusions section</w:t>
            </w:r>
          </w:p>
        </w:tc>
        <w:tc>
          <w:tcPr>
            <w:tcW w:type="dxa" w:w="2160"/>
          </w:tcPr>
          <w:p>
            <w:r>
              <w:t>Required: state main conclusions + importance/relevance to the field</w:t>
            </w:r>
          </w:p>
        </w:tc>
        <w:tc>
          <w:tcPr>
            <w:tcW w:type="dxa" w:w="2160"/>
          </w:tcPr>
          <w:p>
            <w:r>
              <w:t>MISSING — Discussion ends without a Conclusions heading</w:t>
            </w:r>
          </w:p>
        </w:tc>
        <w:tc>
          <w:tcPr>
            <w:tcW w:type="dxa" w:w="2160"/>
          </w:tcPr>
          <w:p>
            <w:r>
              <w:t>Add short Conclusions section (see §4)</w:t>
            </w:r>
          </w:p>
        </w:tc>
      </w:tr>
      <w:tr>
        <w:tc>
          <w:tcPr>
            <w:tcW w:type="dxa" w:w="2160"/>
          </w:tcPr>
          <w:p>
            <w:r>
              <w:t>Declarations block</w:t>
            </w:r>
          </w:p>
        </w:tc>
        <w:tc>
          <w:tcPr>
            <w:tcW w:type="dxa" w:w="2160"/>
          </w:tcPr>
          <w:p>
            <w:r>
              <w:t>Mandatory, with ALL subheadings; write 'Not applicable' if a subheading does not apply</w:t>
            </w:r>
          </w:p>
        </w:tc>
        <w:tc>
          <w:tcPr>
            <w:tcW w:type="dxa" w:w="2160"/>
          </w:tcPr>
          <w:p>
            <w:r>
              <w:t>MISSING entirely</w:t>
            </w:r>
          </w:p>
        </w:tc>
        <w:tc>
          <w:tcPr>
            <w:tcW w:type="dxa" w:w="2160"/>
          </w:tcPr>
          <w:p>
            <w:r>
              <w:t>Add full Declarations block (template in §3)</w:t>
            </w:r>
          </w:p>
        </w:tc>
      </w:tr>
      <w:tr>
        <w:tc>
          <w:tcPr>
            <w:tcW w:type="dxa" w:w="2160"/>
          </w:tcPr>
          <w:p>
            <w:r>
              <w:t>Availability of data and materials</w:t>
            </w:r>
          </w:p>
        </w:tc>
        <w:tc>
          <w:tcPr>
            <w:tcW w:type="dxa" w:w="2160"/>
          </w:tcPr>
          <w:p>
            <w:r>
              <w:t>Strict data-release policy: 16S raw reads must be in a public repository (e.g. NCBI SRA / ENA); metadata per MIxS (GSC) standard</w:t>
            </w:r>
          </w:p>
        </w:tc>
        <w:tc>
          <w:tcPr>
            <w:tcW w:type="dxa" w:w="2160"/>
          </w:tcPr>
          <w:p>
            <w:r>
              <w:t>MISSING — no accession, no data statement</w:t>
            </w:r>
          </w:p>
        </w:tc>
        <w:tc>
          <w:tcPr>
            <w:tcW w:type="dxa" w:w="2160"/>
          </w:tcPr>
          <w:p>
            <w:r>
              <w:t>Deposit reads in SRA/ENA; add accession + MIxS metadata statement (mandatory)</w:t>
            </w:r>
          </w:p>
        </w:tc>
      </w:tr>
      <w:tr>
        <w:tc>
          <w:tcPr>
            <w:tcW w:type="dxa" w:w="2160"/>
          </w:tcPr>
          <w:p>
            <w:r>
              <w:t>Ethics approval</w:t>
            </w:r>
          </w:p>
        </w:tc>
        <w:tc>
          <w:tcPr>
            <w:tcW w:type="dxa" w:w="2160"/>
          </w:tcPr>
          <w:p>
            <w:r>
              <w:t>Statement on animal-ethics approval required, incl. approving body / reference number</w:t>
            </w:r>
          </w:p>
        </w:tc>
        <w:tc>
          <w:tcPr>
            <w:tcW w:type="dxa" w:w="2160"/>
          </w:tcPr>
          <w:p>
            <w:r>
              <w:t>Partially present in Methods (authorizations n° 2014-156-0001 and n° 2015-1426DDT605)</w:t>
            </w:r>
          </w:p>
        </w:tc>
        <w:tc>
          <w:tcPr>
            <w:tcW w:type="dxa" w:w="2160"/>
          </w:tcPr>
          <w:p>
            <w:r>
              <w:t>Move/restate under 'Ethics approval and consent to participate' in Declarations</w:t>
            </w:r>
          </w:p>
        </w:tc>
      </w:tr>
      <w:tr>
        <w:tc>
          <w:tcPr>
            <w:tcW w:type="dxa" w:w="2160"/>
          </w:tcPr>
          <w:p>
            <w:r>
              <w:t>Reference style</w:t>
            </w:r>
          </w:p>
        </w:tc>
        <w:tc>
          <w:tcPr>
            <w:tcW w:type="dxa" w:w="2160"/>
          </w:tcPr>
          <w:p>
            <w:r>
              <w:t>BMC numbered style; in-text citations as bracketed numerals [1], [2, 3], [4–7], in order of appearance; journal names abbreviated per Index Medicus</w:t>
            </w:r>
          </w:p>
        </w:tc>
        <w:tc>
          <w:tcPr>
            <w:tcW w:type="dxa" w:w="2160"/>
          </w:tcPr>
          <w:p>
            <w:r>
              <w:t>Author–date (Harvard) style throughout; one stray numeric '[7]' in the text</w:t>
            </w:r>
          </w:p>
        </w:tc>
        <w:tc>
          <w:tcPr>
            <w:tcW w:type="dxa" w:w="2160"/>
          </w:tcPr>
          <w:p>
            <w:r>
              <w:t>Convert all in-text citations and the reference list to numbered BMC style</w:t>
            </w:r>
          </w:p>
        </w:tc>
      </w:tr>
      <w:tr>
        <w:tc>
          <w:tcPr>
            <w:tcW w:type="dxa" w:w="2160"/>
          </w:tcPr>
          <w:p>
            <w:r>
              <w:t>Keywords</w:t>
            </w:r>
          </w:p>
        </w:tc>
        <w:tc>
          <w:tcPr>
            <w:tcW w:type="dxa" w:w="2160"/>
          </w:tcPr>
          <w:p>
            <w:r>
              <w:t>3–10 keywords</w:t>
            </w:r>
          </w:p>
        </w:tc>
        <w:tc>
          <w:tcPr>
            <w:tcW w:type="dxa" w:w="2160"/>
          </w:tcPr>
          <w:p>
            <w:r>
              <w:t>Present (5 keywords)</w:t>
            </w:r>
          </w:p>
        </w:tc>
        <w:tc>
          <w:tcPr>
            <w:tcW w:type="dxa" w:w="2160"/>
          </w:tcPr>
          <w:p>
            <w:r>
              <w:t>OK — no change needed</w:t>
            </w:r>
          </w:p>
        </w:tc>
      </w:tr>
      <w:tr>
        <w:tc>
          <w:tcPr>
            <w:tcW w:type="dxa" w:w="2160"/>
          </w:tcPr>
          <w:p>
            <w:r>
              <w:t>Figures</w:t>
            </w:r>
          </w:p>
        </w:tc>
        <w:tc>
          <w:tcPr>
            <w:tcW w:type="dxa" w:w="2160"/>
          </w:tcPr>
          <w:p>
            <w:r>
              <w:t>Numbered in citation order; multi-panel figures as one composite file; correct orientation</w:t>
            </w:r>
          </w:p>
        </w:tc>
        <w:tc>
          <w:tcPr>
            <w:tcW w:type="dxa" w:w="2160"/>
          </w:tcPr>
          <w:p>
            <w:r>
              <w:t>Figures referenced but several as placeholders ('Figure X', 'Figure XX', 'Figure XXX')</w:t>
            </w:r>
          </w:p>
        </w:tc>
        <w:tc>
          <w:tcPr>
            <w:tcW w:type="dxa" w:w="2160"/>
          </w:tcPr>
          <w:p>
            <w:r>
              <w:t>Finalize figure numbering and files</w:t>
            </w:r>
          </w:p>
        </w:tc>
      </w:tr>
      <w:tr>
        <w:tc>
          <w:tcPr>
            <w:tcW w:type="dxa" w:w="2160"/>
          </w:tcPr>
          <w:p>
            <w:r>
              <w:t>Placeholders / unfinished text</w:t>
            </w:r>
          </w:p>
        </w:tc>
        <w:tc>
          <w:tcPr>
            <w:tcW w:type="dxa" w:w="2160"/>
          </w:tcPr>
          <w:p>
            <w:r>
              <w:t>Manuscript must be complete</w:t>
            </w:r>
          </w:p>
        </w:tc>
        <w:tc>
          <w:tcPr>
            <w:tcW w:type="dxa" w:w="2160"/>
          </w:tcPr>
          <w:p>
            <w:r>
              <w:t>Multiple: 'XXX samples', 'XX individuals', 'Gilles et al. 202X / 20XX', 'Bolyen et al.' (no year), a raw notes block after Results ('Results:' bullet list), incomplete Discussion end</w:t>
            </w:r>
          </w:p>
        </w:tc>
        <w:tc>
          <w:tcPr>
            <w:tcW w:type="dxa" w:w="2160"/>
          </w:tcPr>
          <w:p>
            <w:r>
              <w:t>Resolve every placeholder; delete the notes block; finish Discussion + add Conclusions</w:t>
            </w:r>
          </w:p>
        </w:tc>
      </w:tr>
      <w:tr>
        <w:tc>
          <w:tcPr>
            <w:tcW w:type="dxa" w:w="2160"/>
          </w:tcPr>
          <w:p>
            <w:r>
              <w:t>Graphical abstract (optional)</w:t>
            </w:r>
          </w:p>
        </w:tc>
        <w:tc>
          <w:tcPr>
            <w:tcW w:type="dxa" w:w="2160"/>
          </w:tcPr>
          <w:p>
            <w:r>
              <w:t>If supplied: ~920 × 300 px, JPEG/PNG/SVG</w:t>
            </w:r>
          </w:p>
        </w:tc>
        <w:tc>
          <w:tcPr>
            <w:tcW w:type="dxa" w:w="2160"/>
          </w:tcPr>
          <w:p>
            <w:r>
              <w:t>None</w:t>
            </w:r>
          </w:p>
        </w:tc>
        <w:tc>
          <w:tcPr>
            <w:tcW w:type="dxa" w:w="2160"/>
          </w:tcPr>
          <w:p>
            <w:r>
              <w:t>Optional — consider adding</w:t>
            </w:r>
          </w:p>
        </w:tc>
      </w:tr>
      <w:tr>
        <w:tc>
          <w:tcPr>
            <w:tcW w:type="dxa" w:w="2160"/>
          </w:tcPr>
          <w:p>
            <w:r>
              <w:t>Cover letter + suggested reviewers</w:t>
            </w:r>
          </w:p>
        </w:tc>
        <w:tc>
          <w:tcPr>
            <w:tcW w:type="dxa" w:w="2160"/>
          </w:tcPr>
          <w:p>
            <w:r>
              <w:t>Cover letter; suggested reviewers commonly requested</w:t>
            </w:r>
          </w:p>
        </w:tc>
        <w:tc>
          <w:tcPr>
            <w:tcW w:type="dxa" w:w="2160"/>
          </w:tcPr>
          <w:p>
            <w:r>
              <w:t>Not part of manuscript</w:t>
            </w:r>
          </w:p>
        </w:tc>
        <w:tc>
          <w:tcPr>
            <w:tcW w:type="dxa" w:w="2160"/>
          </w:tcPr>
          <w:p>
            <w:r>
              <w:t>Prepare at submission (can draft on request)</w:t>
            </w:r>
          </w:p>
        </w:tc>
      </w:tr>
    </w:tbl>
    <w:p>
      <w:pPr>
        <w:pStyle w:val="Heading1"/>
      </w:pPr>
      <w:r>
        <w:t>2. Draft structured abstract (336 words — within the 350-word limit)</w:t>
      </w:r>
    </w:p>
    <w:p>
      <w:r>
        <w:rPr>
          <w:b w:val="0"/>
          <w:i/>
        </w:rPr>
        <w:t>Drop-in draft built strictly from your Results/Discussion. Verify every number against your final tables (e.g. final sample count, which is currently a placeholder in the Methods). No references, per journal rule.</w:t>
      </w:r>
    </w:p>
    <w:p>
      <w:r>
        <w:rPr>
          <w:b/>
          <w:i w:val="0"/>
        </w:rPr>
        <w:t>Background</w:t>
      </w:r>
    </w:p>
    <w:p>
      <w:r>
        <w:rPr>
          <w:b w:val="0"/>
          <w:i w:val="0"/>
        </w:rPr>
        <w:t>Host-associated microbial communities (microbiota) contribute to host physiology and fitness and may participate in reproductive isolation between species. In secondary contact zones, divergence of the microbiota between interbreeding species could reinforce post-zygotic barriers, yet it may also be reshaped by the local environment. We tested whether microbiota divergence between two interbreeding cyprinid fish, Parachondrostoma toxostoma and Chondrostoma nasus, is environmental context-dependent. We sampled the two species in three sympatric areas of the Rhône basin (France) differing in their degree of anthropization: a natural river reach (Ardèche, Saint-Just), a regulated river (Buëch), and an artificial hydroelectric canal (Canal-Edf). In each site we compared the taxonomic and predicted functional diversity of gill (external) and gut (internal) microbiota between species, and assessed the effect of introgressive hybridization at the site where hybrids were most frequent.</w:t>
      </w:r>
    </w:p>
    <w:p>
      <w:r>
        <w:rPr>
          <w:b/>
          <w:i w:val="0"/>
        </w:rPr>
        <w:t>Results</w:t>
      </w:r>
    </w:p>
    <w:p>
      <w:r>
        <w:rPr>
          <w:b w:val="0"/>
          <w:i w:val="0"/>
        </w:rPr>
        <w:t>Bacterial communities were characterized by 16S rRNA gene (V4 region) metabarcoding of 87 gill and gut samples, yielding amplicon sequence variants analysed for alpha diversity, beta diversity, differential abundance, and predicted metabolic function. Interspecific microbiota divergence was inconsistent and depended on both tissue and environmental context. Tissue type was the strongest driver of microbiota diversity and composition. Gut microbiota diverged between species in the two wilder sites (Buëch and Saint-Just) but converged in the artificial canal, whereas gill microbiota diverged in the canal and in Saint-Just. Differential-abundance analysis recovered only a few discriminating genera at low relative abundance. Predicted metabolic pathways of the gut microbiota differed between species at Buëch, with lower carbohydrate and higher amino-acid and lipid metabolism in P. toxostoma. Introgressed hybrids showed microbiota diversity, composition and predicted function within the range of the parental species, with no transgressive phenotype.</w:t>
      </w:r>
    </w:p>
    <w:p>
      <w:r>
        <w:rPr>
          <w:b/>
          <w:i w:val="0"/>
        </w:rPr>
        <w:t>Conclusions</w:t>
      </w:r>
    </w:p>
    <w:p>
      <w:r>
        <w:rPr>
          <w:b w:val="0"/>
          <w:i w:val="0"/>
        </w:rPr>
        <w:t>Microbiota divergence between these interbreeding species is environmental context-dependent and appears to be shaped more by host ecological traits, notably diet, than by host genetic background. Anthropogenic homogenization of habitat reduces interspecific divergence, consistent with narrowed, overlapping ecological niches. The absence of a transgressive microbiota in hybrids suggests a limited contribution of the microbiota to post-zygotic isolation in this mosaic hybrid-zone system.</w:t>
      </w:r>
    </w:p>
    <w:p>
      <w:r>
        <w:rPr>
          <w:b w:val="0"/>
          <w:i w:val="0"/>
        </w:rPr>
        <w:t>Keywords: microbiota; fish; hybrid zone; introgression; 16S rRNA metabarcoding; holobiont; ecological speciation; gut and gill microbiome</w:t>
      </w:r>
    </w:p>
    <w:p>
      <w:pPr>
        <w:pStyle w:val="Heading1"/>
      </w:pPr>
      <w:r>
        <w:t>3. Declarations block (mandatory — paste at end of manuscript, before References)</w:t>
      </w:r>
    </w:p>
    <w:p>
      <w:r>
        <w:rPr>
          <w:b w:val="0"/>
          <w:i/>
        </w:rPr>
        <w:t>Animal Microbiome requires ALL of the following subheadings. Where a subheading does not apply, keep the heading and write “Not applicable”. Bracketed text is for you to complete.</w:t>
      </w:r>
    </w:p>
    <w:p>
      <w:r>
        <w:rPr>
          <w:b/>
          <w:i w:val="0"/>
        </w:rPr>
        <w:t>Ethics approval and consent to participate</w:t>
      </w:r>
    </w:p>
    <w:p>
      <w:r>
        <w:rPr>
          <w:b w:val="0"/>
          <w:i w:val="0"/>
        </w:rPr>
        <w:t>This study was conducted according to international guidelines of animal care and to national protocol authorizations n° 2014-156-0001 and n° 2015-1426DDT605 [name the approving authority/ethics committee]. Specimens were euthanized by cervical dislocation. [State that no endangered-species permits were required, or give permit numbers if P. toxostoma — a protected species in France — required specific sampling authorization.]</w:t>
      </w:r>
    </w:p>
    <w:p>
      <w:r>
        <w:rPr>
          <w:b/>
          <w:i w:val="0"/>
        </w:rPr>
        <w:t>Consent for publication</w:t>
      </w:r>
    </w:p>
    <w:p>
      <w:r>
        <w:rPr>
          <w:b w:val="0"/>
          <w:i w:val="0"/>
        </w:rPr>
        <w:t>Not applicable.</w:t>
      </w:r>
    </w:p>
    <w:p>
      <w:r>
        <w:rPr>
          <w:b/>
          <w:i w:val="0"/>
        </w:rPr>
        <w:t>Availability of data and materials</w:t>
      </w:r>
    </w:p>
    <w:p>
      <w:r>
        <w:rPr>
          <w:b w:val="0"/>
          <w:i w:val="0"/>
        </w:rPr>
        <w:t>The 16S rRNA gene amplicon sequence data generated in this study are available in the [NCBI SRA / ENA] repository under accession [BioProject/accession number]. Sample metadata are provided [in Additional file X / in the repository] formatted according to the MIxS standard. [Add DOIs/links for any analysis scripts.] — NOTE: deposition is mandatory for this journal and must be in place at submission for reviewers.</w:t>
      </w:r>
    </w:p>
    <w:p>
      <w:r>
        <w:rPr>
          <w:b/>
          <w:i w:val="0"/>
        </w:rPr>
        <w:t>Competing interests</w:t>
      </w:r>
    </w:p>
    <w:p>
      <w:r>
        <w:rPr>
          <w:b w:val="0"/>
          <w:i w:val="0"/>
        </w:rPr>
        <w:t>The authors declare that they have no competing interests.</w:t>
      </w:r>
    </w:p>
    <w:p>
      <w:r>
        <w:rPr>
          <w:b/>
          <w:i w:val="0"/>
        </w:rPr>
        <w:t>Funding</w:t>
      </w:r>
    </w:p>
    <w:p>
      <w:r>
        <w:rPr>
          <w:b w:val="0"/>
          <w:i w:val="0"/>
        </w:rPr>
        <w:t>[State all funding sources and grant numbers, and the role of the funder — or 'The authors received no specific funding for this work.']</w:t>
      </w:r>
    </w:p>
    <w:p>
      <w:r>
        <w:rPr>
          <w:b/>
          <w:i w:val="0"/>
        </w:rPr>
        <w:t>Authors' contributions</w:t>
      </w:r>
    </w:p>
    <w:p>
      <w:r>
        <w:rPr>
          <w:b w:val="0"/>
          <w:i w:val="0"/>
        </w:rPr>
        <w:t>[Use author initials, e.g.: EG and AG conceived and designed the study. EG, NP and RC performed field sampling. EG conducted molecular work and bioinformatic analyses. NP and JFM performed statistical analyses. EG wrote the manuscript. All authors read and approved the final manuscript.]</w:t>
      </w:r>
    </w:p>
    <w:p>
      <w:r>
        <w:rPr>
          <w:b/>
          <w:i w:val="0"/>
        </w:rPr>
        <w:t>Acknowledgements</w:t>
      </w:r>
    </w:p>
    <w:p>
      <w:r>
        <w:rPr>
          <w:b w:val="0"/>
          <w:i w:val="0"/>
        </w:rPr>
        <w:t>[Acknowledge field/lab assistance, sequencing platform, funding-body staff, etc. — or 'Not applicable'.]</w:t>
      </w:r>
    </w:p>
    <w:p>
      <w:pPr>
        <w:pStyle w:val="Heading1"/>
      </w:pPr>
      <w:r>
        <w:t>4. Draft “Conclusions” section (currently missing)</w:t>
      </w:r>
    </w:p>
    <w:p>
      <w:r>
        <w:rPr>
          <w:b w:val="0"/>
          <w:i/>
        </w:rPr>
        <w:t>A short standalone Conclusions section is required. Suggested draft, consistent with your Discussion:</w:t>
      </w:r>
    </w:p>
    <w:p>
      <w:r>
        <w:rPr>
          <w:b w:val="0"/>
          <w:i w:val="0"/>
        </w:rPr>
        <w:t>Our multi-site comparison shows that microbiota divergence between two interbreeding cyprinid species is environmental context-dependent rather than a fixed species signature. Tissue identity dominated microbiota structure, and interspecific divergence — in both gut and gill communities — was strongest in the least modified habitat and weakest in the artificial canal, where habitat homogenization is expected to force overlapping ecological niches. Because divergence tracked ecological context more than host phylogeny, host ecological traits (notably diet) appear to shape microbiota assembly more strongly than host genetic background in this system. The lack of a transgressive microbiota in introgressed hybrids argues for a limited role of the microbiota in maintaining post-zygotic isolation, and highlights how anthropogenic habitat change can modulate host–microbiota relationships in mosaic hybrid zones.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