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microbiome-hybrid : points à régler avant la soumission</w:t>
      </w:r>
    </w:p>
    <w:p>
      <w:r>
        <w:t>État au 7 octobre 2026. Sources : dossier _etat/ du dépôt sur meso (commit c9e6169, identique au miroir GitHub public), version de travail docs/manuscrit/Article.docx, paquet docs/soumission/, et une vérification des 51 références de l'article contre Crossref faite le 7 octobre (section 3).</w:t>
      </w:r>
    </w:p>
    <w:p>
      <w:r>
        <w:t>Chaque point indique ce qu'il faut faire, qui doit le faire et s'il bloque la soumission. Les points notés « à confirmer » sont des hypothèses, pas des constats.</w:t>
      </w:r>
    </w:p>
    <w:p>
      <w:pPr>
        <w:pStyle w:val="Heading1"/>
      </w:pPr>
      <w:r>
        <w:t>1 Vue d'ensemble</w:t>
      </w:r>
    </w:p>
    <w:tbl>
      <w:tblPr>
        <w:tblStyle w:val="TableGrid"/>
        <w:tblW w:type="auto" w:w="0"/>
        <w:tblLook w:firstColumn="1" w:firstRow="1" w:lastColumn="0" w:lastRow="0" w:noHBand="0" w:noVBand="1" w:val="04A0"/>
        <w:tblCaption w:val="N° : Point, Qui, Bloque la soumission"/>
      </w:tblPr>
      <w:tblGrid>
        <w:gridCol w:w="2160"/>
        <w:gridCol w:w="2160"/>
        <w:gridCol w:w="2160"/>
        <w:gridCol w:w="2160"/>
      </w:tblGrid>
      <w:tr>
        <w:trPr>
          <w:tblHeader w:val="true"/>
        </w:trPr>
        <w:tc>
          <w:tcPr>
            <w:tcW w:type="dxa" w:w="2160"/>
            <w:shd w:val="clear" w:color="auto" w:fill="1565C0"/>
          </w:tcPr>
          <w:p>
            <w:pPr>
              <w:spacing w:line="276" w:lineRule="auto"/>
            </w:pPr>
            <w:r>
              <w:rPr>
                <w:rFonts w:ascii="Arial" w:hAnsi="Arial"/>
                <w:sz w:val="20"/>
              </w:rPr>
            </w:r>
            <w:r>
              <w:rPr>
                <w:rFonts w:ascii="Arial" w:hAnsi="Arial"/>
                <w:b/>
                <w:color w:val="FFFFFF"/>
                <w:sz w:val="20"/>
              </w:rPr>
              <w:t>N°</w:t>
            </w:r>
          </w:p>
        </w:tc>
        <w:tc>
          <w:tcPr>
            <w:tcW w:type="dxa" w:w="2160"/>
            <w:shd w:val="clear" w:color="auto" w:fill="1565C0"/>
          </w:tcPr>
          <w:p>
            <w:pPr>
              <w:spacing w:line="276" w:lineRule="auto"/>
            </w:pPr>
            <w:r>
              <w:rPr>
                <w:rFonts w:ascii="Arial" w:hAnsi="Arial"/>
                <w:sz w:val="20"/>
              </w:rPr>
            </w:r>
            <w:r>
              <w:rPr>
                <w:rFonts w:ascii="Arial" w:hAnsi="Arial"/>
                <w:b/>
                <w:color w:val="FFFFFF"/>
                <w:sz w:val="20"/>
              </w:rPr>
              <w:t>Point</w:t>
            </w:r>
          </w:p>
        </w:tc>
        <w:tc>
          <w:tcPr>
            <w:tcW w:type="dxa" w:w="2160"/>
            <w:shd w:val="clear" w:color="auto" w:fill="1565C0"/>
          </w:tcPr>
          <w:p>
            <w:pPr>
              <w:spacing w:line="276" w:lineRule="auto"/>
            </w:pPr>
            <w:r>
              <w:rPr>
                <w:rFonts w:ascii="Arial" w:hAnsi="Arial"/>
                <w:sz w:val="20"/>
              </w:rPr>
            </w:r>
            <w:r>
              <w:rPr>
                <w:rFonts w:ascii="Arial" w:hAnsi="Arial"/>
                <w:b/>
                <w:color w:val="FFFFFF"/>
                <w:sz w:val="20"/>
              </w:rPr>
              <w:t>Qui</w:t>
            </w:r>
          </w:p>
        </w:tc>
        <w:tc>
          <w:tcPr>
            <w:tcW w:type="dxa" w:w="2160"/>
            <w:shd w:val="clear" w:color="auto" w:fill="1565C0"/>
          </w:tcPr>
          <w:p>
            <w:pPr>
              <w:spacing w:line="276" w:lineRule="auto"/>
            </w:pPr>
            <w:r>
              <w:rPr>
                <w:rFonts w:ascii="Arial" w:hAnsi="Arial"/>
                <w:sz w:val="20"/>
              </w:rPr>
            </w:r>
            <w:r>
              <w:rPr>
                <w:rFonts w:ascii="Arial" w:hAnsi="Arial"/>
                <w:b/>
                <w:color w:val="FFFFFF"/>
                <w:sz w:val="20"/>
              </w:rPr>
              <w:t>Bloque la soumission</w:t>
            </w:r>
          </w:p>
        </w:tc>
      </w:tr>
      <w:tr>
        <w:tc>
          <w:tcPr>
            <w:tcW w:type="dxa" w:w="2160"/>
          </w:tcPr>
          <w:p>
            <w:pPr>
              <w:spacing w:line="276" w:lineRule="auto"/>
            </w:pPr>
            <w:r>
              <w:rPr>
                <w:rFonts w:ascii="Arial" w:hAnsi="Arial"/>
                <w:sz w:val="20"/>
              </w:rPr>
              <w:t>2.1</w:t>
            </w:r>
          </w:p>
        </w:tc>
        <w:tc>
          <w:tcPr>
            <w:tcW w:type="dxa" w:w="2160"/>
          </w:tcPr>
          <w:p>
            <w:pPr>
              <w:spacing w:line="276" w:lineRule="auto"/>
            </w:pPr>
            <w:r>
              <w:rPr>
                <w:rFonts w:ascii="Arial" w:hAnsi="Arial"/>
                <w:sz w:val="20"/>
              </w:rPr>
              <w:t>Huit informations administratives (auteurs, adresses, courriels, auteur correspondant, DOI Zenodo, rôle des financeurs, contributions, autres remerciements)</w:t>
            </w:r>
          </w:p>
        </w:tc>
        <w:tc>
          <w:tcPr>
            <w:tcW w:type="dxa" w:w="2160"/>
          </w:tcPr>
          <w:p>
            <w:pPr>
              <w:spacing w:line="276" w:lineRule="auto"/>
            </w:pPr>
            <w:r>
              <w:rPr>
                <w:rFonts w:ascii="Arial" w:hAnsi="Arial"/>
                <w:sz w:val="20"/>
              </w:rPr>
              <w:t>JF</w:t>
            </w:r>
          </w:p>
        </w:tc>
        <w:tc>
          <w:tcPr>
            <w:tcW w:type="dxa" w:w="2160"/>
          </w:tcPr>
          <w:p>
            <w:pPr>
              <w:spacing w:line="276" w:lineRule="auto"/>
            </w:pPr>
            <w:r>
              <w:rPr>
                <w:rFonts w:ascii="Arial" w:hAnsi="Arial"/>
                <w:sz w:val="20"/>
              </w:rPr>
              <w:t>Oui</w:t>
            </w:r>
          </w:p>
        </w:tc>
      </w:tr>
      <w:tr>
        <w:tc>
          <w:tcPr>
            <w:tcW w:type="dxa" w:w="2160"/>
          </w:tcPr>
          <w:p>
            <w:pPr>
              <w:spacing w:line="276" w:lineRule="auto"/>
            </w:pPr>
            <w:r>
              <w:rPr>
                <w:rFonts w:ascii="Arial" w:hAnsi="Arial"/>
                <w:sz w:val="20"/>
              </w:rPr>
              <w:t>2.2</w:t>
            </w:r>
          </w:p>
        </w:tc>
        <w:tc>
          <w:tcPr>
            <w:tcW w:type="dxa" w:w="2160"/>
          </w:tcPr>
          <w:p>
            <w:pPr>
              <w:spacing w:line="276" w:lineRule="auto"/>
            </w:pPr>
            <w:r>
              <w:rPr>
                <w:rFonts w:ascii="Arial" w:hAnsi="Arial"/>
                <w:sz w:val="20"/>
              </w:rPr>
              <w:t>Titre définitif</w:t>
            </w:r>
          </w:p>
        </w:tc>
        <w:tc>
          <w:tcPr>
            <w:tcW w:type="dxa" w:w="2160"/>
          </w:tcPr>
          <w:p>
            <w:pPr>
              <w:spacing w:line="276" w:lineRule="auto"/>
            </w:pPr>
            <w:r>
              <w:rPr>
                <w:rFonts w:ascii="Arial" w:hAnsi="Arial"/>
                <w:sz w:val="20"/>
              </w:rPr>
              <w:t>JF</w:t>
            </w:r>
          </w:p>
        </w:tc>
        <w:tc>
          <w:tcPr>
            <w:tcW w:type="dxa" w:w="2160"/>
          </w:tcPr>
          <w:p>
            <w:pPr>
              <w:spacing w:line="276" w:lineRule="auto"/>
            </w:pPr>
            <w:r>
              <w:rPr>
                <w:rFonts w:ascii="Arial" w:hAnsi="Arial"/>
                <w:sz w:val="20"/>
              </w:rPr>
              <w:t>Oui</w:t>
            </w:r>
          </w:p>
        </w:tc>
      </w:tr>
      <w:tr>
        <w:tc>
          <w:tcPr>
            <w:tcW w:type="dxa" w:w="2160"/>
          </w:tcPr>
          <w:p>
            <w:pPr>
              <w:spacing w:line="276" w:lineRule="auto"/>
            </w:pPr>
            <w:r>
              <w:rPr>
                <w:rFonts w:ascii="Arial" w:hAnsi="Arial"/>
                <w:sz w:val="20"/>
              </w:rPr>
              <w:t>2.3</w:t>
            </w:r>
          </w:p>
        </w:tc>
        <w:tc>
          <w:tcPr>
            <w:tcW w:type="dxa" w:w="2160"/>
          </w:tcPr>
          <w:p>
            <w:pPr>
              <w:spacing w:line="276" w:lineRule="auto"/>
            </w:pPr>
            <w:r>
              <w:rPr>
                <w:rFonts w:ascii="Arial" w:hAnsi="Arial"/>
                <w:sz w:val="20"/>
              </w:rPr>
              <w:t>Rôle de B. Hérodet dans la phrase de remerciement</w:t>
            </w:r>
          </w:p>
        </w:tc>
        <w:tc>
          <w:tcPr>
            <w:tcW w:type="dxa" w:w="2160"/>
          </w:tcPr>
          <w:p>
            <w:pPr>
              <w:spacing w:line="276" w:lineRule="auto"/>
            </w:pPr>
            <w:r>
              <w:rPr>
                <w:rFonts w:ascii="Arial" w:hAnsi="Arial"/>
                <w:sz w:val="20"/>
              </w:rPr>
              <w:t>JF ou André</w:t>
            </w:r>
          </w:p>
        </w:tc>
        <w:tc>
          <w:tcPr>
            <w:tcW w:type="dxa" w:w="2160"/>
          </w:tcPr>
          <w:p>
            <w:pPr>
              <w:spacing w:line="276" w:lineRule="auto"/>
            </w:pPr>
            <w:r>
              <w:rPr>
                <w:rFonts w:ascii="Arial" w:hAnsi="Arial"/>
                <w:sz w:val="20"/>
              </w:rPr>
              <w:t>Non</w:t>
            </w:r>
          </w:p>
        </w:tc>
      </w:tr>
      <w:tr>
        <w:tc>
          <w:tcPr>
            <w:tcW w:type="dxa" w:w="2160"/>
          </w:tcPr>
          <w:p>
            <w:pPr>
              <w:spacing w:line="276" w:lineRule="auto"/>
            </w:pPr>
            <w:r>
              <w:rPr>
                <w:rFonts w:ascii="Arial" w:hAnsi="Arial"/>
                <w:sz w:val="20"/>
              </w:rPr>
              <w:t>3.1</w:t>
            </w:r>
          </w:p>
        </w:tc>
        <w:tc>
          <w:tcPr>
            <w:tcW w:type="dxa" w:w="2160"/>
          </w:tcPr>
          <w:p>
            <w:pPr>
              <w:spacing w:line="276" w:lineRule="auto"/>
            </w:pPr>
            <w:r>
              <w:rPr>
                <w:rFonts w:ascii="Arial" w:hAnsi="Arial"/>
                <w:sz w:val="20"/>
              </w:rPr>
              <w:t>Convention d'année des références (volume imprimé) : à confirmer</w:t>
            </w:r>
          </w:p>
        </w:tc>
        <w:tc>
          <w:tcPr>
            <w:tcW w:type="dxa" w:w="2160"/>
          </w:tcPr>
          <w:p>
            <w:pPr>
              <w:spacing w:line="276" w:lineRule="auto"/>
            </w:pPr>
            <w:r>
              <w:rPr>
                <w:rFonts w:ascii="Arial" w:hAnsi="Arial"/>
                <w:sz w:val="20"/>
              </w:rPr>
              <w:t>JF</w:t>
            </w:r>
          </w:p>
        </w:tc>
        <w:tc>
          <w:tcPr>
            <w:tcW w:type="dxa" w:w="2160"/>
          </w:tcPr>
          <w:p>
            <w:pPr>
              <w:spacing w:line="276" w:lineRule="auto"/>
            </w:pPr>
            <w:r>
              <w:rPr>
                <w:rFonts w:ascii="Arial" w:hAnsi="Arial"/>
                <w:sz w:val="20"/>
              </w:rPr>
              <w:t>Oui (forme)</w:t>
            </w:r>
          </w:p>
        </w:tc>
      </w:tr>
      <w:tr>
        <w:tc>
          <w:tcPr>
            <w:tcW w:type="dxa" w:w="2160"/>
          </w:tcPr>
          <w:p>
            <w:pPr>
              <w:spacing w:line="276" w:lineRule="auto"/>
            </w:pPr>
            <w:r>
              <w:rPr>
                <w:rFonts w:ascii="Arial" w:hAnsi="Arial"/>
                <w:sz w:val="20"/>
              </w:rPr>
              <w:t>3.2</w:t>
            </w:r>
          </w:p>
        </w:tc>
        <w:tc>
          <w:tcPr>
            <w:tcW w:type="dxa" w:w="2160"/>
          </w:tcPr>
          <w:p>
            <w:pPr>
              <w:spacing w:line="276" w:lineRule="auto"/>
            </w:pPr>
            <w:r>
              <w:rPr>
                <w:rFonts w:ascii="Arial" w:hAnsi="Arial"/>
                <w:sz w:val="20"/>
              </w:rPr>
              <w:t>Sinama et al. 2013 [28] : quelle notice citer</w:t>
            </w:r>
          </w:p>
        </w:tc>
        <w:tc>
          <w:tcPr>
            <w:tcW w:type="dxa" w:w="2160"/>
          </w:tcPr>
          <w:p>
            <w:pPr>
              <w:spacing w:line="276" w:lineRule="auto"/>
            </w:pPr>
            <w:r>
              <w:rPr>
                <w:rFonts w:ascii="Arial" w:hAnsi="Arial"/>
                <w:sz w:val="20"/>
              </w:rPr>
              <w:t>JF</w:t>
            </w:r>
          </w:p>
        </w:tc>
        <w:tc>
          <w:tcPr>
            <w:tcW w:type="dxa" w:w="2160"/>
          </w:tcPr>
          <w:p>
            <w:pPr>
              <w:spacing w:line="276" w:lineRule="auto"/>
            </w:pPr>
            <w:r>
              <w:rPr>
                <w:rFonts w:ascii="Arial" w:hAnsi="Arial"/>
                <w:sz w:val="20"/>
              </w:rPr>
              <w:t>Oui (forme)</w:t>
            </w:r>
          </w:p>
        </w:tc>
      </w:tr>
      <w:tr>
        <w:tc>
          <w:tcPr>
            <w:tcW w:type="dxa" w:w="2160"/>
          </w:tcPr>
          <w:p>
            <w:pPr>
              <w:spacing w:line="276" w:lineRule="auto"/>
            </w:pPr>
            <w:r>
              <w:rPr>
                <w:rFonts w:ascii="Arial" w:hAnsi="Arial"/>
                <w:sz w:val="20"/>
              </w:rPr>
              <w:t>3.3</w:t>
            </w:r>
          </w:p>
        </w:tc>
        <w:tc>
          <w:tcPr>
            <w:tcW w:type="dxa" w:w="2160"/>
          </w:tcPr>
          <w:p>
            <w:pPr>
              <w:spacing w:line="276" w:lineRule="auto"/>
            </w:pPr>
            <w:r>
              <w:rPr>
                <w:rFonts w:ascii="Arial" w:hAnsi="Arial"/>
                <w:sz w:val="20"/>
              </w:rPr>
              <w:t>Pertinence de Wang 2015 [11] et Sevellec 2014 [6]</w:t>
            </w:r>
          </w:p>
        </w:tc>
        <w:tc>
          <w:tcPr>
            <w:tcW w:type="dxa" w:w="2160"/>
          </w:tcPr>
          <w:p>
            <w:pPr>
              <w:spacing w:line="276" w:lineRule="auto"/>
            </w:pPr>
            <w:r>
              <w:rPr>
                <w:rFonts w:ascii="Arial" w:hAnsi="Arial"/>
                <w:sz w:val="20"/>
              </w:rPr>
              <w:t>JF</w:t>
            </w:r>
          </w:p>
        </w:tc>
        <w:tc>
          <w:tcPr>
            <w:tcW w:type="dxa" w:w="2160"/>
          </w:tcPr>
          <w:p>
            <w:pPr>
              <w:spacing w:line="276" w:lineRule="auto"/>
            </w:pPr>
            <w:r>
              <w:rPr>
                <w:rFonts w:ascii="Arial" w:hAnsi="Arial"/>
                <w:sz w:val="20"/>
              </w:rPr>
              <w:t>Non</w:t>
            </w:r>
          </w:p>
        </w:tc>
      </w:tr>
      <w:tr>
        <w:tc>
          <w:tcPr>
            <w:tcW w:type="dxa" w:w="2160"/>
          </w:tcPr>
          <w:p>
            <w:pPr>
              <w:spacing w:line="276" w:lineRule="auto"/>
            </w:pPr>
            <w:r>
              <w:rPr>
                <w:rFonts w:ascii="Arial" w:hAnsi="Arial"/>
                <w:sz w:val="20"/>
              </w:rPr>
              <w:t>3.4</w:t>
            </w:r>
          </w:p>
        </w:tc>
        <w:tc>
          <w:tcPr>
            <w:tcW w:type="dxa" w:w="2160"/>
          </w:tcPr>
          <w:p>
            <w:pPr>
              <w:spacing w:line="276" w:lineRule="auto"/>
            </w:pPr>
            <w:r>
              <w:rPr>
                <w:rFonts w:ascii="Arial" w:hAnsi="Arial"/>
                <w:sz w:val="20"/>
              </w:rPr>
              <w:t>Défauts de forme ou mises à jour dans 13 références</w:t>
            </w:r>
          </w:p>
        </w:tc>
        <w:tc>
          <w:tcPr>
            <w:tcW w:type="dxa" w:w="2160"/>
          </w:tcPr>
          <w:p>
            <w:pPr>
              <w:spacing w:line="276" w:lineRule="auto"/>
            </w:pPr>
            <w:r>
              <w:rPr>
                <w:rFonts w:ascii="Arial" w:hAnsi="Arial"/>
                <w:sz w:val="20"/>
              </w:rPr>
              <w:t>Agent, après accord de JF</w:t>
            </w:r>
          </w:p>
        </w:tc>
        <w:tc>
          <w:tcPr>
            <w:tcW w:type="dxa" w:w="2160"/>
          </w:tcPr>
          <w:p>
            <w:pPr>
              <w:spacing w:line="276" w:lineRule="auto"/>
            </w:pPr>
            <w:r>
              <w:rPr>
                <w:rFonts w:ascii="Arial" w:hAnsi="Arial"/>
                <w:sz w:val="20"/>
              </w:rPr>
              <w:t>Oui (forme)</w:t>
            </w:r>
          </w:p>
        </w:tc>
      </w:tr>
      <w:tr>
        <w:tc>
          <w:tcPr>
            <w:tcW w:type="dxa" w:w="2160"/>
          </w:tcPr>
          <w:p>
            <w:pPr>
              <w:spacing w:line="276" w:lineRule="auto"/>
            </w:pPr>
            <w:r>
              <w:rPr>
                <w:rFonts w:ascii="Arial" w:hAnsi="Arial"/>
                <w:sz w:val="20"/>
              </w:rPr>
              <w:t>4</w:t>
            </w:r>
          </w:p>
        </w:tc>
        <w:tc>
          <w:tcPr>
            <w:tcW w:type="dxa" w:w="2160"/>
          </w:tcPr>
          <w:p>
            <w:pPr>
              <w:spacing w:line="276" w:lineRule="auto"/>
            </w:pPr>
            <w:r>
              <w:rPr>
                <w:rFonts w:ascii="Arial" w:hAnsi="Arial"/>
                <w:sz w:val="20"/>
              </w:rPr>
              <w:t>Appel à la Table S5 au §8.6 ; « Eukaryota » et « Mitochondria » en romain ; lettre d'accompagnement, relecteurs, résumé graphique</w:t>
            </w:r>
          </w:p>
        </w:tc>
        <w:tc>
          <w:tcPr>
            <w:tcW w:type="dxa" w:w="2160"/>
          </w:tcPr>
          <w:p>
            <w:pPr>
              <w:spacing w:line="276" w:lineRule="auto"/>
            </w:pPr>
            <w:r>
              <w:rPr>
                <w:rFonts w:ascii="Arial" w:hAnsi="Arial"/>
                <w:sz w:val="20"/>
              </w:rPr>
              <w:t>JF</w:t>
            </w:r>
          </w:p>
        </w:tc>
        <w:tc>
          <w:tcPr>
            <w:tcW w:type="dxa" w:w="2160"/>
          </w:tcPr>
          <w:p>
            <w:pPr>
              <w:spacing w:line="276" w:lineRule="auto"/>
            </w:pPr>
            <w:r>
              <w:rPr>
                <w:rFonts w:ascii="Arial" w:hAnsi="Arial"/>
                <w:sz w:val="20"/>
              </w:rPr>
              <w:t>Lettre : oui ; le reste : non</w:t>
            </w:r>
          </w:p>
        </w:tc>
      </w:tr>
      <w:tr>
        <w:tc>
          <w:tcPr>
            <w:tcW w:type="dxa" w:w="2160"/>
          </w:tcPr>
          <w:p>
            <w:pPr>
              <w:spacing w:line="276" w:lineRule="auto"/>
            </w:pPr>
            <w:r>
              <w:rPr>
                <w:rFonts w:ascii="Arial" w:hAnsi="Arial"/>
                <w:sz w:val="20"/>
              </w:rPr>
              <w:t>5</w:t>
            </w:r>
          </w:p>
        </w:tc>
        <w:tc>
          <w:tcPr>
            <w:tcW w:type="dxa" w:w="2160"/>
          </w:tcPr>
          <w:p>
            <w:pPr>
              <w:spacing w:line="276" w:lineRule="auto"/>
            </w:pPr>
            <w:r>
              <w:rPr>
                <w:rFonts w:ascii="Arial" w:hAnsi="Arial"/>
                <w:sz w:val="20"/>
              </w:rPr>
              <w:t>Part des contributions d'André</w:t>
            </w:r>
          </w:p>
        </w:tc>
        <w:tc>
          <w:tcPr>
            <w:tcW w:type="dxa" w:w="2160"/>
          </w:tcPr>
          <w:p>
            <w:pPr>
              <w:spacing w:line="276" w:lineRule="auto"/>
            </w:pPr>
            <w:r>
              <w:rPr>
                <w:rFonts w:ascii="Arial" w:hAnsi="Arial"/>
                <w:sz w:val="20"/>
              </w:rPr>
              <w:t>André</w:t>
            </w:r>
          </w:p>
        </w:tc>
        <w:tc>
          <w:tcPr>
            <w:tcW w:type="dxa" w:w="2160"/>
          </w:tcPr>
          <w:p>
            <w:pPr>
              <w:spacing w:line="276" w:lineRule="auto"/>
            </w:pPr>
            <w:r>
              <w:rPr>
                <w:rFonts w:ascii="Arial" w:hAnsi="Arial"/>
                <w:sz w:val="20"/>
              </w:rPr>
              <w:t>Oui</w:t>
            </w:r>
          </w:p>
        </w:tc>
      </w:tr>
      <w:tr>
        <w:tc>
          <w:tcPr>
            <w:tcW w:type="dxa" w:w="2160"/>
          </w:tcPr>
          <w:p>
            <w:pPr>
              <w:spacing w:line="276" w:lineRule="auto"/>
            </w:pPr>
            <w:r>
              <w:rPr>
                <w:rFonts w:ascii="Arial" w:hAnsi="Arial"/>
                <w:sz w:val="20"/>
              </w:rPr>
              <w:t>6</w:t>
            </w:r>
          </w:p>
        </w:tc>
        <w:tc>
          <w:tcPr>
            <w:tcW w:type="dxa" w:w="2160"/>
          </w:tcPr>
          <w:p>
            <w:pPr>
              <w:spacing w:line="276" w:lineRule="auto"/>
            </w:pPr>
            <w:r>
              <w:rPr>
                <w:rFonts w:ascii="Arial" w:hAnsi="Arial"/>
                <w:sz w:val="20"/>
              </w:rPr>
              <w:t>Adapter scripts/72, régénérer le paquet, relancer les contrôles, archiver sur Zenodo</w:t>
            </w:r>
          </w:p>
        </w:tc>
        <w:tc>
          <w:tcPr>
            <w:tcW w:type="dxa" w:w="2160"/>
          </w:tcPr>
          <w:p>
            <w:pPr>
              <w:spacing w:line="276" w:lineRule="auto"/>
            </w:pPr>
            <w:r>
              <w:rPr>
                <w:rFonts w:ascii="Arial" w:hAnsi="Arial"/>
                <w:sz w:val="20"/>
              </w:rPr>
              <w:t>Agent</w:t>
            </w:r>
          </w:p>
        </w:tc>
        <w:tc>
          <w:tcPr>
            <w:tcW w:type="dxa" w:w="2160"/>
          </w:tcPr>
          <w:p>
            <w:pPr>
              <w:spacing w:line="276" w:lineRule="auto"/>
            </w:pPr>
            <w:r>
              <w:rPr>
                <w:rFonts w:ascii="Arial" w:hAnsi="Arial"/>
                <w:sz w:val="20"/>
              </w:rPr>
              <w:t>Oui</w:t>
            </w:r>
          </w:p>
        </w:tc>
      </w:tr>
      <w:tr>
        <w:tc>
          <w:tcPr>
            <w:tcW w:type="dxa" w:w="2160"/>
          </w:tcPr>
          <w:p>
            <w:pPr>
              <w:spacing w:line="276" w:lineRule="auto"/>
            </w:pPr>
            <w:r>
              <w:rPr>
                <w:rFonts w:ascii="Arial" w:hAnsi="Arial"/>
                <w:sz w:val="20"/>
              </w:rPr>
              <w:t>7</w:t>
            </w:r>
          </w:p>
        </w:tc>
        <w:tc>
          <w:tcPr>
            <w:tcW w:type="dxa" w:w="2160"/>
          </w:tcPr>
          <w:p>
            <w:pPr>
              <w:spacing w:line="276" w:lineRule="auto"/>
            </w:pPr>
            <w:r>
              <w:rPr>
                <w:rFonts w:ascii="Arial" w:hAnsi="Arial"/>
                <w:sz w:val="20"/>
              </w:rPr>
              <w:t>ENA : corriger un TITLE, puis rendre le projet public</w:t>
            </w:r>
          </w:p>
        </w:tc>
        <w:tc>
          <w:tcPr>
            <w:tcW w:type="dxa" w:w="2160"/>
          </w:tcPr>
          <w:p>
            <w:pPr>
              <w:spacing w:line="276" w:lineRule="auto"/>
            </w:pPr>
            <w:r>
              <w:rPr>
                <w:rFonts w:ascii="Arial" w:hAnsi="Arial"/>
                <w:sz w:val="20"/>
              </w:rPr>
              <w:t>Humain au clavier (identifiants Webin)</w:t>
            </w:r>
          </w:p>
        </w:tc>
        <w:tc>
          <w:tcPr>
            <w:tcW w:type="dxa" w:w="2160"/>
          </w:tcPr>
          <w:p>
            <w:pPr>
              <w:spacing w:line="276" w:lineRule="auto"/>
            </w:pPr>
            <w:r>
              <w:rPr>
                <w:rFonts w:ascii="Arial" w:hAnsi="Arial"/>
                <w:sz w:val="20"/>
              </w:rPr>
              <w:t>Ouverture publique : oui</w:t>
            </w:r>
          </w:p>
        </w:tc>
      </w:tr>
      <w:tr>
        <w:tc>
          <w:tcPr>
            <w:tcW w:type="dxa" w:w="2160"/>
          </w:tcPr>
          <w:p>
            <w:pPr>
              <w:spacing w:line="276" w:lineRule="auto"/>
            </w:pPr>
            <w:r>
              <w:rPr>
                <w:rFonts w:ascii="Arial" w:hAnsi="Arial"/>
                <w:sz w:val="20"/>
              </w:rPr>
              <w:t>8</w:t>
            </w:r>
          </w:p>
        </w:tc>
        <w:tc>
          <w:tcPr>
            <w:tcW w:type="dxa" w:w="2160"/>
          </w:tcPr>
          <w:p>
            <w:pPr>
              <w:spacing w:line="276" w:lineRule="auto"/>
            </w:pPr>
            <w:r>
              <w:rPr>
                <w:rFonts w:ascii="Arial" w:hAnsi="Arial"/>
                <w:sz w:val="20"/>
              </w:rPr>
              <w:t>Points facultatifs (ASV0185, Mycoplasmatales, 12S, mécanismes, hygiène)</w:t>
            </w:r>
          </w:p>
        </w:tc>
        <w:tc>
          <w:tcPr>
            <w:tcW w:type="dxa" w:w="2160"/>
          </w:tcPr>
          <w:p>
            <w:pPr>
              <w:spacing w:line="276" w:lineRule="auto"/>
            </w:pPr>
            <w:r>
              <w:rPr>
                <w:rFonts w:ascii="Arial" w:hAnsi="Arial"/>
                <w:sz w:val="20"/>
              </w:rPr>
              <w:t>—</w:t>
            </w:r>
          </w:p>
        </w:tc>
        <w:tc>
          <w:tcPr>
            <w:tcW w:type="dxa" w:w="2160"/>
          </w:tcPr>
          <w:p>
            <w:pPr>
              <w:spacing w:line="276" w:lineRule="auto"/>
            </w:pPr>
            <w:r>
              <w:rPr>
                <w:rFonts w:ascii="Arial" w:hAnsi="Arial"/>
                <w:sz w:val="20"/>
              </w:rPr>
              <w:t>Non</w:t>
            </w:r>
          </w:p>
        </w:tc>
      </w:tr>
    </w:tbl>
    <w:p/>
    <w:p>
      <w:pPr>
        <w:pStyle w:val="Heading1"/>
      </w:pPr>
      <w:r>
        <w:t>2 Informations à fournir</w:t>
      </w:r>
    </w:p>
    <w:p>
      <w:pPr>
        <w:pStyle w:val="Heading2"/>
      </w:pPr>
      <w:r>
        <w:t>2.1 Les huit marqueurs [TO COMPLETE]</w:t>
      </w:r>
    </w:p>
    <w:p>
      <w:r>
        <w:t>Le paquet de soumission (docs/soumission/Manuscript_microbiome-hybrid.docx) contient huit marqueurs à remplacer :</w:t>
      </w:r>
    </w:p>
    <w:p>
      <w:pPr>
        <w:pStyle w:val="ListBullet"/>
        <w:numPr>
          <w:ilvl w:val="0"/>
          <w:numId w:val="1"/>
        </w:numPr>
      </w:pPr>
      <w:r>
        <w:t>noms complets de tous les auteurs, avec numéros d'affiliation ;</w:t>
      </w:r>
    </w:p>
    <w:p>
      <w:pPr>
        <w:pStyle w:val="ListBullet"/>
        <w:numPr>
          <w:ilvl w:val="0"/>
          <w:numId w:val="1"/>
        </w:numPr>
      </w:pPr>
      <w:r>
        <w:t>adresses institutionnelles ;</w:t>
      </w:r>
    </w:p>
    <w:p>
      <w:pPr>
        <w:pStyle w:val="ListBullet"/>
        <w:numPr>
          <w:ilvl w:val="0"/>
          <w:numId w:val="1"/>
        </w:numPr>
      </w:pPr>
      <w:r>
        <w:t>adresses électroniques ;</w:t>
      </w:r>
    </w:p>
    <w:p>
      <w:pPr>
        <w:pStyle w:val="ListBullet"/>
        <w:numPr>
          <w:ilvl w:val="0"/>
          <w:numId w:val="1"/>
        </w:numPr>
      </w:pPr>
      <w:r>
        <w:t>auteur correspondant (nom et courriel) ;</w:t>
      </w:r>
    </w:p>
    <w:p>
      <w:pPr>
        <w:pStyle w:val="ListBullet"/>
        <w:numPr>
          <w:ilvl w:val="0"/>
          <w:numId w:val="1"/>
        </w:numPr>
      </w:pPr>
      <w:r>
        <w:t>DOI de la version archivée du code sur Zenodo (voir section 6) ;</w:t>
      </w:r>
    </w:p>
    <w:p>
      <w:pPr>
        <w:pStyle w:val="ListBullet"/>
        <w:numPr>
          <w:ilvl w:val="0"/>
          <w:numId w:val="1"/>
        </w:numPr>
      </w:pPr>
      <w:r>
        <w:t>rôle des financeurs (EDF, contrat EDF-CNRS AGDI 428481 ; Fédération de l'Ain) dans la conception, la collecte, l'analyse, l'interprétation et la rédaction ;</w:t>
      </w:r>
    </w:p>
    <w:p>
      <w:pPr>
        <w:pStyle w:val="ListBullet"/>
        <w:numPr>
          <w:ilvl w:val="0"/>
          <w:numId w:val="1"/>
        </w:numPr>
      </w:pPr>
      <w:r>
        <w:t>contribution de chaque auteur, par initiales ;</w:t>
      </w:r>
    </w:p>
    <w:p>
      <w:pPr>
        <w:pStyle w:val="ListBullet"/>
        <w:numPr>
          <w:ilvl w:val="0"/>
          <w:numId w:val="1"/>
        </w:numPr>
      </w:pPr>
      <w:r>
        <w:t>autres remerciements (B. Hérodet y est déjà nommé).</w:t>
      </w:r>
    </w:p>
    <w:p>
      <w:r>
        <w:rPr>
          <w:b/>
        </w:rPr>
        <w:t xml:space="preserve">Important. </w:t>
      </w:r>
      <w:r>
        <w:t>Ces marqueurs ne sont pas dans Article.docx : scripts/72 les insère en dur à chaque génération du paquet. Il suffit d'envoyer ces informations, en texte simple ; l'agent adapte le script pour qu'il les reprenne (section 6). Ne pas les saisir dans Article.docx : un texte de contributions saisi là fait échouer la génération du paquet.</w:t>
      </w:r>
    </w:p>
    <w:p>
      <w:pPr>
        <w:pStyle w:val="Heading2"/>
      </w:pPr>
      <w:r>
        <w:t>2.2 Titre définitif</w:t>
      </w:r>
    </w:p>
    <w:p>
      <w:r>
        <w:t>Titre actuel, provisoire depuis le 3 octobre : « Host-associated bacterial microbiota of hybridising cyprinid fishes ».</w:t>
      </w:r>
    </w:p>
    <w:p>
      <w:pPr>
        <w:pStyle w:val="Heading2"/>
      </w:pPr>
      <w:r>
        <w:t>2.3 Benjamin Hérodet</w:t>
      </w:r>
    </w:p>
    <w:p>
      <w:r>
        <w:t>Décision du 7 octobre : il figure dans les remerciements. La phrase actuelle est « We thank Benjamin Hérodet (Fédération de l'Ain pour la pêche et la protection des milieux aquatiques). » Son rôle n'est pas précisé ; « aide aux pêches du Suran » est une hypothèse à confirmer. Si personne ne le précise, la phrase reste telle quelle.</w:t>
      </w:r>
    </w:p>
    <w:p>
      <w:pPr>
        <w:pStyle w:val="Heading1"/>
      </w:pPr>
      <w:r>
        <w:t>3 Références</w:t>
      </w:r>
    </w:p>
    <w:p>
      <w:pPr>
        <w:pStyle w:val="Heading2"/>
      </w:pPr>
      <w:r>
        <w:t>3.1 Dates : vérification contre Crossref</w:t>
      </w:r>
    </w:p>
    <w:p>
      <w:r>
        <w:t>Convention appliquée dans l'article (note grise des références) : l'année citée est celle du volume imprimé quand il existe, et non celle de la mise en ligne. La note grise demande de confirmer cette règle et nomme quatre références concernées ; il y en a en fait sept.</w:t>
      </w:r>
    </w:p>
    <w:p>
      <w:r>
        <w:t>Résultat de la vérification : sur les 48 références de l'article qui ont un DOI, l'année citée est l'année du volume imprimé ou, à défaut, l'année de publication enregistrée par Crossref, avec une seule exception (SILVA [36], ci-dessous). Les 48 numéros de volume sont conformes à Crossref, et les 45 paginations ou numéros d'article qu'il fournit aussi. Aucune date n'est donc à corriger si la règle est confirmée.</w:t>
      </w:r>
    </w:p>
    <w:tbl>
      <w:tblPr>
        <w:tblStyle w:val="TableGrid"/>
        <w:tblW w:type="auto" w:w="0"/>
        <w:tblLook w:firstColumn="1" w:firstRow="1" w:lastColumn="0" w:lastRow="0" w:noHBand="0" w:noVBand="1" w:val="04A0"/>
        <w:tblCaption w:val="Réf. : Référence, En ligne, Volume imprimé, Année citée, Verdict"/>
      </w:tblPr>
      <w:tblGrid>
        <w:gridCol w:w="1440"/>
        <w:gridCol w:w="1440"/>
        <w:gridCol w:w="1440"/>
        <w:gridCol w:w="1440"/>
        <w:gridCol w:w="1440"/>
        <w:gridCol w:w="1440"/>
      </w:tblGrid>
      <w:tr>
        <w:trPr>
          <w:tblHeader w:val="true"/>
        </w:trPr>
        <w:tc>
          <w:tcPr>
            <w:tcW w:type="dxa" w:w="1440"/>
            <w:shd w:val="clear" w:color="auto" w:fill="1565C0"/>
          </w:tcPr>
          <w:p>
            <w:pPr>
              <w:spacing w:line="276" w:lineRule="auto"/>
            </w:pPr>
            <w:r>
              <w:rPr>
                <w:rFonts w:ascii="Arial" w:hAnsi="Arial"/>
                <w:sz w:val="20"/>
              </w:rPr>
            </w:r>
            <w:r>
              <w:rPr>
                <w:rFonts w:ascii="Arial" w:hAnsi="Arial"/>
                <w:b/>
                <w:color w:val="FFFFFF"/>
                <w:sz w:val="20"/>
              </w:rPr>
              <w:t>Réf.</w:t>
            </w:r>
          </w:p>
        </w:tc>
        <w:tc>
          <w:tcPr>
            <w:tcW w:type="dxa" w:w="1440"/>
            <w:shd w:val="clear" w:color="auto" w:fill="1565C0"/>
          </w:tcPr>
          <w:p>
            <w:pPr>
              <w:spacing w:line="276" w:lineRule="auto"/>
            </w:pPr>
            <w:r>
              <w:rPr>
                <w:rFonts w:ascii="Arial" w:hAnsi="Arial"/>
                <w:sz w:val="20"/>
              </w:rPr>
            </w:r>
            <w:r>
              <w:rPr>
                <w:rFonts w:ascii="Arial" w:hAnsi="Arial"/>
                <w:b/>
                <w:color w:val="FFFFFF"/>
                <w:sz w:val="20"/>
              </w:rPr>
              <w:t>Référence</w:t>
            </w:r>
          </w:p>
        </w:tc>
        <w:tc>
          <w:tcPr>
            <w:tcW w:type="dxa" w:w="1440"/>
            <w:shd w:val="clear" w:color="auto" w:fill="1565C0"/>
          </w:tcPr>
          <w:p>
            <w:pPr>
              <w:spacing w:line="276" w:lineRule="auto"/>
            </w:pPr>
            <w:r>
              <w:rPr>
                <w:rFonts w:ascii="Arial" w:hAnsi="Arial"/>
                <w:sz w:val="20"/>
              </w:rPr>
            </w:r>
            <w:r>
              <w:rPr>
                <w:rFonts w:ascii="Arial" w:hAnsi="Arial"/>
                <w:b/>
                <w:color w:val="FFFFFF"/>
                <w:sz w:val="20"/>
              </w:rPr>
              <w:t>En ligne</w:t>
            </w:r>
          </w:p>
        </w:tc>
        <w:tc>
          <w:tcPr>
            <w:tcW w:type="dxa" w:w="1440"/>
            <w:shd w:val="clear" w:color="auto" w:fill="1565C0"/>
          </w:tcPr>
          <w:p>
            <w:pPr>
              <w:spacing w:line="276" w:lineRule="auto"/>
            </w:pPr>
            <w:r>
              <w:rPr>
                <w:rFonts w:ascii="Arial" w:hAnsi="Arial"/>
                <w:sz w:val="20"/>
              </w:rPr>
            </w:r>
            <w:r>
              <w:rPr>
                <w:rFonts w:ascii="Arial" w:hAnsi="Arial"/>
                <w:b/>
                <w:color w:val="FFFFFF"/>
                <w:sz w:val="20"/>
              </w:rPr>
              <w:t>Volume imprimé</w:t>
            </w:r>
          </w:p>
        </w:tc>
        <w:tc>
          <w:tcPr>
            <w:tcW w:type="dxa" w:w="1440"/>
            <w:shd w:val="clear" w:color="auto" w:fill="1565C0"/>
          </w:tcPr>
          <w:p>
            <w:pPr>
              <w:spacing w:line="276" w:lineRule="auto"/>
            </w:pPr>
            <w:r>
              <w:rPr>
                <w:rFonts w:ascii="Arial" w:hAnsi="Arial"/>
                <w:sz w:val="20"/>
              </w:rPr>
            </w:r>
            <w:r>
              <w:rPr>
                <w:rFonts w:ascii="Arial" w:hAnsi="Arial"/>
                <w:b/>
                <w:color w:val="FFFFFF"/>
                <w:sz w:val="20"/>
              </w:rPr>
              <w:t>Année citée</w:t>
            </w:r>
          </w:p>
        </w:tc>
        <w:tc>
          <w:tcPr>
            <w:tcW w:type="dxa" w:w="1440"/>
            <w:shd w:val="clear" w:color="auto" w:fill="1565C0"/>
          </w:tcPr>
          <w:p>
            <w:pPr>
              <w:spacing w:line="276" w:lineRule="auto"/>
            </w:pPr>
            <w:r>
              <w:rPr>
                <w:rFonts w:ascii="Arial" w:hAnsi="Arial"/>
                <w:sz w:val="20"/>
              </w:rPr>
            </w:r>
            <w:r>
              <w:rPr>
                <w:rFonts w:ascii="Arial" w:hAnsi="Arial"/>
                <w:b/>
                <w:color w:val="FFFFFF"/>
                <w:sz w:val="20"/>
              </w:rPr>
              <w:t>Verdict</w:t>
            </w:r>
          </w:p>
        </w:tc>
      </w:tr>
      <w:tr>
        <w:tc>
          <w:tcPr>
            <w:tcW w:type="dxa" w:w="1440"/>
          </w:tcPr>
          <w:p>
            <w:pPr>
              <w:spacing w:line="276" w:lineRule="auto"/>
            </w:pPr>
            <w:r>
              <w:rPr>
                <w:rFonts w:ascii="Arial" w:hAnsi="Arial"/>
                <w:sz w:val="20"/>
              </w:rPr>
              <w:t>[21]</w:t>
            </w:r>
          </w:p>
        </w:tc>
        <w:tc>
          <w:tcPr>
            <w:tcW w:type="dxa" w:w="1440"/>
          </w:tcPr>
          <w:p>
            <w:pPr>
              <w:spacing w:line="276" w:lineRule="auto"/>
            </w:pPr>
            <w:r>
              <w:rPr>
                <w:rFonts w:ascii="Arial" w:hAnsi="Arial"/>
                <w:sz w:val="20"/>
              </w:rPr>
              <w:t>Nielsen et al., Ecol Lett 26</w:t>
            </w:r>
          </w:p>
        </w:tc>
        <w:tc>
          <w:tcPr>
            <w:tcW w:type="dxa" w:w="1440"/>
          </w:tcPr>
          <w:p>
            <w:pPr>
              <w:spacing w:line="276" w:lineRule="auto"/>
            </w:pPr>
            <w:r>
              <w:rPr>
                <w:rFonts w:ascii="Arial" w:hAnsi="Arial"/>
                <w:sz w:val="20"/>
              </w:rPr>
              <w:t>2022</w:t>
            </w:r>
          </w:p>
        </w:tc>
        <w:tc>
          <w:tcPr>
            <w:tcW w:type="dxa" w:w="1440"/>
          </w:tcPr>
          <w:p>
            <w:pPr>
              <w:spacing w:line="276" w:lineRule="auto"/>
            </w:pPr>
            <w:r>
              <w:rPr>
                <w:rFonts w:ascii="Arial" w:hAnsi="Arial"/>
                <w:sz w:val="20"/>
              </w:rPr>
              <w:t>2023</w:t>
            </w:r>
          </w:p>
        </w:tc>
        <w:tc>
          <w:tcPr>
            <w:tcW w:type="dxa" w:w="1440"/>
          </w:tcPr>
          <w:p>
            <w:pPr>
              <w:spacing w:line="276" w:lineRule="auto"/>
            </w:pPr>
            <w:r>
              <w:rPr>
                <w:rFonts w:ascii="Arial" w:hAnsi="Arial"/>
                <w:sz w:val="20"/>
              </w:rPr>
              <w:t>2023</w:t>
            </w:r>
          </w:p>
        </w:tc>
        <w:tc>
          <w:tcPr>
            <w:tcW w:type="dxa" w:w="1440"/>
          </w:tcPr>
          <w:p>
            <w:pPr>
              <w:spacing w:line="276" w:lineRule="auto"/>
            </w:pPr>
            <w:r>
              <w:rPr>
                <w:rFonts w:ascii="Arial" w:hAnsi="Arial"/>
                <w:sz w:val="20"/>
              </w:rPr>
              <w:t>Conforme à la règle</w:t>
            </w:r>
          </w:p>
        </w:tc>
      </w:tr>
      <w:tr>
        <w:tc>
          <w:tcPr>
            <w:tcW w:type="dxa" w:w="1440"/>
          </w:tcPr>
          <w:p>
            <w:pPr>
              <w:spacing w:line="276" w:lineRule="auto"/>
            </w:pPr>
            <w:r>
              <w:rPr>
                <w:rFonts w:ascii="Arial" w:hAnsi="Arial"/>
                <w:sz w:val="20"/>
              </w:rPr>
              <w:t>[24]</w:t>
            </w:r>
          </w:p>
        </w:tc>
        <w:tc>
          <w:tcPr>
            <w:tcW w:type="dxa" w:w="1440"/>
          </w:tcPr>
          <w:p>
            <w:pPr>
              <w:spacing w:line="276" w:lineRule="auto"/>
            </w:pPr>
            <w:r>
              <w:rPr>
                <w:rFonts w:ascii="Arial" w:hAnsi="Arial"/>
                <w:sz w:val="20"/>
              </w:rPr>
              <w:t>Čížková et al., Mol Ecol 33</w:t>
            </w:r>
          </w:p>
        </w:tc>
        <w:tc>
          <w:tcPr>
            <w:tcW w:type="dxa" w:w="1440"/>
          </w:tcPr>
          <w:p>
            <w:pPr>
              <w:spacing w:line="276" w:lineRule="auto"/>
            </w:pPr>
            <w:r>
              <w:rPr>
                <w:rFonts w:ascii="Arial" w:hAnsi="Arial"/>
                <w:sz w:val="20"/>
              </w:rPr>
              <w:t>2023</w:t>
            </w:r>
          </w:p>
        </w:tc>
        <w:tc>
          <w:tcPr>
            <w:tcW w:type="dxa" w:w="1440"/>
          </w:tcPr>
          <w:p>
            <w:pPr>
              <w:spacing w:line="276" w:lineRule="auto"/>
            </w:pPr>
            <w:r>
              <w:rPr>
                <w:rFonts w:ascii="Arial" w:hAnsi="Arial"/>
                <w:sz w:val="20"/>
              </w:rPr>
              <w:t>2024</w:t>
            </w:r>
          </w:p>
        </w:tc>
        <w:tc>
          <w:tcPr>
            <w:tcW w:type="dxa" w:w="1440"/>
          </w:tcPr>
          <w:p>
            <w:pPr>
              <w:spacing w:line="276" w:lineRule="auto"/>
            </w:pPr>
            <w:r>
              <w:rPr>
                <w:rFonts w:ascii="Arial" w:hAnsi="Arial"/>
                <w:sz w:val="20"/>
              </w:rPr>
              <w:t>2024</w:t>
            </w:r>
          </w:p>
        </w:tc>
        <w:tc>
          <w:tcPr>
            <w:tcW w:type="dxa" w:w="1440"/>
          </w:tcPr>
          <w:p>
            <w:pPr>
              <w:spacing w:line="276" w:lineRule="auto"/>
            </w:pPr>
            <w:r>
              <w:rPr>
                <w:rFonts w:ascii="Arial" w:hAnsi="Arial"/>
                <w:sz w:val="20"/>
              </w:rPr>
              <w:t>Conforme à la règle</w:t>
            </w:r>
          </w:p>
        </w:tc>
      </w:tr>
      <w:tr>
        <w:tc>
          <w:tcPr>
            <w:tcW w:type="dxa" w:w="1440"/>
          </w:tcPr>
          <w:p>
            <w:pPr>
              <w:spacing w:line="276" w:lineRule="auto"/>
            </w:pPr>
            <w:r>
              <w:rPr>
                <w:rFonts w:ascii="Arial" w:hAnsi="Arial"/>
                <w:sz w:val="20"/>
              </w:rPr>
              <w:t>[29]</w:t>
            </w:r>
          </w:p>
        </w:tc>
        <w:tc>
          <w:tcPr>
            <w:tcW w:type="dxa" w:w="1440"/>
          </w:tcPr>
          <w:p>
            <w:pPr>
              <w:spacing w:line="276" w:lineRule="auto"/>
            </w:pPr>
            <w:r>
              <w:rPr>
                <w:rFonts w:ascii="Arial" w:hAnsi="Arial"/>
                <w:sz w:val="20"/>
              </w:rPr>
              <w:t>Guivier et al., Hydrobiologia 830</w:t>
            </w:r>
          </w:p>
        </w:tc>
        <w:tc>
          <w:tcPr>
            <w:tcW w:type="dxa" w:w="1440"/>
          </w:tcPr>
          <w:p>
            <w:pPr>
              <w:spacing w:line="276" w:lineRule="auto"/>
            </w:pPr>
            <w:r>
              <w:rPr>
                <w:rFonts w:ascii="Arial" w:hAnsi="Arial"/>
                <w:sz w:val="20"/>
              </w:rPr>
              <w:t>2018</w:t>
            </w:r>
          </w:p>
        </w:tc>
        <w:tc>
          <w:tcPr>
            <w:tcW w:type="dxa" w:w="1440"/>
          </w:tcPr>
          <w:p>
            <w:pPr>
              <w:spacing w:line="276" w:lineRule="auto"/>
            </w:pPr>
            <w:r>
              <w:rPr>
                <w:rFonts w:ascii="Arial" w:hAnsi="Arial"/>
                <w:sz w:val="20"/>
              </w:rPr>
              <w:t>2019</w:t>
            </w:r>
          </w:p>
        </w:tc>
        <w:tc>
          <w:tcPr>
            <w:tcW w:type="dxa" w:w="1440"/>
          </w:tcPr>
          <w:p>
            <w:pPr>
              <w:spacing w:line="276" w:lineRule="auto"/>
            </w:pPr>
            <w:r>
              <w:rPr>
                <w:rFonts w:ascii="Arial" w:hAnsi="Arial"/>
                <w:sz w:val="20"/>
              </w:rPr>
              <w:t>2019</w:t>
            </w:r>
          </w:p>
        </w:tc>
        <w:tc>
          <w:tcPr>
            <w:tcW w:type="dxa" w:w="1440"/>
          </w:tcPr>
          <w:p>
            <w:pPr>
              <w:spacing w:line="276" w:lineRule="auto"/>
            </w:pPr>
            <w:r>
              <w:rPr>
                <w:rFonts w:ascii="Arial" w:hAnsi="Arial"/>
                <w:sz w:val="20"/>
              </w:rPr>
              <w:t>Conforme à la règle</w:t>
            </w:r>
          </w:p>
        </w:tc>
      </w:tr>
      <w:tr>
        <w:tc>
          <w:tcPr>
            <w:tcW w:type="dxa" w:w="1440"/>
          </w:tcPr>
          <w:p>
            <w:pPr>
              <w:spacing w:line="276" w:lineRule="auto"/>
            </w:pPr>
            <w:r>
              <w:rPr>
                <w:rFonts w:ascii="Arial" w:hAnsi="Arial"/>
                <w:sz w:val="20"/>
              </w:rPr>
              <w:t>[30]</w:t>
            </w:r>
          </w:p>
        </w:tc>
        <w:tc>
          <w:tcPr>
            <w:tcW w:type="dxa" w:w="1440"/>
          </w:tcPr>
          <w:p>
            <w:pPr>
              <w:spacing w:line="276" w:lineRule="auto"/>
            </w:pPr>
            <w:r>
              <w:rPr>
                <w:rFonts w:ascii="Arial" w:hAnsi="Arial"/>
                <w:sz w:val="20"/>
              </w:rPr>
              <w:t>Seehausen et al., Mol Ecol 17</w:t>
            </w:r>
          </w:p>
        </w:tc>
        <w:tc>
          <w:tcPr>
            <w:tcW w:type="dxa" w:w="1440"/>
          </w:tcPr>
          <w:p>
            <w:pPr>
              <w:spacing w:line="276" w:lineRule="auto"/>
            </w:pPr>
            <w:r>
              <w:rPr>
                <w:rFonts w:ascii="Arial" w:hAnsi="Arial"/>
                <w:sz w:val="20"/>
              </w:rPr>
              <w:t>2007</w:t>
            </w:r>
          </w:p>
        </w:tc>
        <w:tc>
          <w:tcPr>
            <w:tcW w:type="dxa" w:w="1440"/>
          </w:tcPr>
          <w:p>
            <w:pPr>
              <w:spacing w:line="276" w:lineRule="auto"/>
            </w:pPr>
            <w:r>
              <w:rPr>
                <w:rFonts w:ascii="Arial" w:hAnsi="Arial"/>
                <w:sz w:val="20"/>
              </w:rPr>
              <w:t>2008</w:t>
            </w:r>
          </w:p>
        </w:tc>
        <w:tc>
          <w:tcPr>
            <w:tcW w:type="dxa" w:w="1440"/>
          </w:tcPr>
          <w:p>
            <w:pPr>
              <w:spacing w:line="276" w:lineRule="auto"/>
            </w:pPr>
            <w:r>
              <w:rPr>
                <w:rFonts w:ascii="Arial" w:hAnsi="Arial"/>
                <w:sz w:val="20"/>
              </w:rPr>
              <w:t>2008</w:t>
            </w:r>
          </w:p>
        </w:tc>
        <w:tc>
          <w:tcPr>
            <w:tcW w:type="dxa" w:w="1440"/>
          </w:tcPr>
          <w:p>
            <w:pPr>
              <w:spacing w:line="276" w:lineRule="auto"/>
            </w:pPr>
            <w:r>
              <w:rPr>
                <w:rFonts w:ascii="Arial" w:hAnsi="Arial"/>
                <w:sz w:val="20"/>
              </w:rPr>
              <w:t>Conforme à la règle</w:t>
            </w:r>
          </w:p>
        </w:tc>
      </w:tr>
      <w:tr>
        <w:tc>
          <w:tcPr>
            <w:tcW w:type="dxa" w:w="1440"/>
          </w:tcPr>
          <w:p>
            <w:pPr>
              <w:spacing w:line="276" w:lineRule="auto"/>
            </w:pPr>
            <w:r>
              <w:rPr>
                <w:rFonts w:ascii="Arial" w:hAnsi="Arial"/>
                <w:sz w:val="20"/>
              </w:rPr>
              <w:t>[31]</w:t>
            </w:r>
          </w:p>
        </w:tc>
        <w:tc>
          <w:tcPr>
            <w:tcW w:type="dxa" w:w="1440"/>
          </w:tcPr>
          <w:p>
            <w:pPr>
              <w:spacing w:line="276" w:lineRule="auto"/>
            </w:pPr>
            <w:r>
              <w:rPr>
                <w:rFonts w:ascii="Arial" w:hAnsi="Arial"/>
                <w:sz w:val="20"/>
              </w:rPr>
              <w:t>Guivier et al., Microb Ecol 75</w:t>
            </w:r>
          </w:p>
        </w:tc>
        <w:tc>
          <w:tcPr>
            <w:tcW w:type="dxa" w:w="1440"/>
          </w:tcPr>
          <w:p>
            <w:pPr>
              <w:spacing w:line="276" w:lineRule="auto"/>
            </w:pPr>
            <w:r>
              <w:rPr>
                <w:rFonts w:ascii="Arial" w:hAnsi="Arial"/>
                <w:sz w:val="20"/>
              </w:rPr>
              <w:t>2017</w:t>
            </w:r>
          </w:p>
        </w:tc>
        <w:tc>
          <w:tcPr>
            <w:tcW w:type="dxa" w:w="1440"/>
          </w:tcPr>
          <w:p>
            <w:pPr>
              <w:spacing w:line="276" w:lineRule="auto"/>
            </w:pPr>
            <w:r>
              <w:rPr>
                <w:rFonts w:ascii="Arial" w:hAnsi="Arial"/>
                <w:sz w:val="20"/>
              </w:rPr>
              <w:t>2018</w:t>
            </w:r>
          </w:p>
        </w:tc>
        <w:tc>
          <w:tcPr>
            <w:tcW w:type="dxa" w:w="1440"/>
          </w:tcPr>
          <w:p>
            <w:pPr>
              <w:spacing w:line="276" w:lineRule="auto"/>
            </w:pPr>
            <w:r>
              <w:rPr>
                <w:rFonts w:ascii="Arial" w:hAnsi="Arial"/>
                <w:sz w:val="20"/>
              </w:rPr>
              <w:t>2018</w:t>
            </w:r>
          </w:p>
        </w:tc>
        <w:tc>
          <w:tcPr>
            <w:tcW w:type="dxa" w:w="1440"/>
          </w:tcPr>
          <w:p>
            <w:pPr>
              <w:spacing w:line="276" w:lineRule="auto"/>
            </w:pPr>
            <w:r>
              <w:rPr>
                <w:rFonts w:ascii="Arial" w:hAnsi="Arial"/>
                <w:sz w:val="20"/>
              </w:rPr>
              <w:t>Conforme à la règle</w:t>
            </w:r>
          </w:p>
        </w:tc>
      </w:tr>
      <w:tr>
        <w:tc>
          <w:tcPr>
            <w:tcW w:type="dxa" w:w="1440"/>
          </w:tcPr>
          <w:p>
            <w:pPr>
              <w:spacing w:line="276" w:lineRule="auto"/>
            </w:pPr>
            <w:r>
              <w:rPr>
                <w:rFonts w:ascii="Arial" w:hAnsi="Arial"/>
                <w:sz w:val="20"/>
              </w:rPr>
              <w:t>[45]</w:t>
            </w:r>
          </w:p>
        </w:tc>
        <w:tc>
          <w:tcPr>
            <w:tcW w:type="dxa" w:w="1440"/>
          </w:tcPr>
          <w:p>
            <w:pPr>
              <w:spacing w:line="276" w:lineRule="auto"/>
            </w:pPr>
            <w:r>
              <w:rPr>
                <w:rFonts w:ascii="Arial" w:hAnsi="Arial"/>
                <w:sz w:val="20"/>
              </w:rPr>
              <w:t>Anderson, Austral Ecol 26</w:t>
            </w:r>
          </w:p>
        </w:tc>
        <w:tc>
          <w:tcPr>
            <w:tcW w:type="dxa" w:w="1440"/>
          </w:tcPr>
          <w:p>
            <w:pPr>
              <w:spacing w:line="276" w:lineRule="auto"/>
            </w:pPr>
            <w:r>
              <w:rPr>
                <w:rFonts w:ascii="Arial" w:hAnsi="Arial"/>
                <w:sz w:val="20"/>
              </w:rPr>
              <w:t>2008</w:t>
            </w:r>
          </w:p>
        </w:tc>
        <w:tc>
          <w:tcPr>
            <w:tcW w:type="dxa" w:w="1440"/>
          </w:tcPr>
          <w:p>
            <w:pPr>
              <w:spacing w:line="276" w:lineRule="auto"/>
            </w:pPr>
            <w:r>
              <w:rPr>
                <w:rFonts w:ascii="Arial" w:hAnsi="Arial"/>
                <w:sz w:val="20"/>
              </w:rPr>
              <w:t>2001</w:t>
            </w:r>
          </w:p>
        </w:tc>
        <w:tc>
          <w:tcPr>
            <w:tcW w:type="dxa" w:w="1440"/>
          </w:tcPr>
          <w:p>
            <w:pPr>
              <w:spacing w:line="276" w:lineRule="auto"/>
            </w:pPr>
            <w:r>
              <w:rPr>
                <w:rFonts w:ascii="Arial" w:hAnsi="Arial"/>
                <w:sz w:val="20"/>
              </w:rPr>
              <w:t>2001</w:t>
            </w:r>
          </w:p>
        </w:tc>
        <w:tc>
          <w:tcPr>
            <w:tcW w:type="dxa" w:w="1440"/>
          </w:tcPr>
          <w:p>
            <w:pPr>
              <w:spacing w:line="276" w:lineRule="auto"/>
            </w:pPr>
            <w:r>
              <w:rPr>
                <w:rFonts w:ascii="Arial" w:hAnsi="Arial"/>
                <w:sz w:val="20"/>
              </w:rPr>
              <w:t>Mise en ligne rétrospective (numérisation)</w:t>
            </w:r>
          </w:p>
        </w:tc>
      </w:tr>
      <w:tr>
        <w:tc>
          <w:tcPr>
            <w:tcW w:type="dxa" w:w="1440"/>
          </w:tcPr>
          <w:p>
            <w:pPr>
              <w:spacing w:line="276" w:lineRule="auto"/>
            </w:pPr>
            <w:r>
              <w:rPr>
                <w:rFonts w:ascii="Arial" w:hAnsi="Arial"/>
                <w:sz w:val="20"/>
              </w:rPr>
              <w:t>[46]</w:t>
            </w:r>
          </w:p>
        </w:tc>
        <w:tc>
          <w:tcPr>
            <w:tcW w:type="dxa" w:w="1440"/>
          </w:tcPr>
          <w:p>
            <w:pPr>
              <w:spacing w:line="276" w:lineRule="auto"/>
            </w:pPr>
            <w:r>
              <w:rPr>
                <w:rFonts w:ascii="Arial" w:hAnsi="Arial"/>
                <w:sz w:val="20"/>
              </w:rPr>
              <w:t>Anderson, Biometrics 62</w:t>
            </w:r>
          </w:p>
        </w:tc>
        <w:tc>
          <w:tcPr>
            <w:tcW w:type="dxa" w:w="1440"/>
          </w:tcPr>
          <w:p>
            <w:pPr>
              <w:spacing w:line="276" w:lineRule="auto"/>
            </w:pPr>
            <w:r>
              <w:rPr>
                <w:rFonts w:ascii="Arial" w:hAnsi="Arial"/>
                <w:sz w:val="20"/>
              </w:rPr>
              <w:t>2005</w:t>
            </w:r>
          </w:p>
        </w:tc>
        <w:tc>
          <w:tcPr>
            <w:tcW w:type="dxa" w:w="1440"/>
          </w:tcPr>
          <w:p>
            <w:pPr>
              <w:spacing w:line="276" w:lineRule="auto"/>
            </w:pPr>
            <w:r>
              <w:rPr>
                <w:rFonts w:ascii="Arial" w:hAnsi="Arial"/>
                <w:sz w:val="20"/>
              </w:rPr>
              <w:t>2006</w:t>
            </w:r>
          </w:p>
        </w:tc>
        <w:tc>
          <w:tcPr>
            <w:tcW w:type="dxa" w:w="1440"/>
          </w:tcPr>
          <w:p>
            <w:pPr>
              <w:spacing w:line="276" w:lineRule="auto"/>
            </w:pPr>
            <w:r>
              <w:rPr>
                <w:rFonts w:ascii="Arial" w:hAnsi="Arial"/>
                <w:sz w:val="20"/>
              </w:rPr>
              <w:t>2006</w:t>
            </w:r>
          </w:p>
        </w:tc>
        <w:tc>
          <w:tcPr>
            <w:tcW w:type="dxa" w:w="1440"/>
          </w:tcPr>
          <w:p>
            <w:pPr>
              <w:spacing w:line="276" w:lineRule="auto"/>
            </w:pPr>
            <w:r>
              <w:rPr>
                <w:rFonts w:ascii="Arial" w:hAnsi="Arial"/>
                <w:sz w:val="20"/>
              </w:rPr>
              <w:t>Conforme à la règle</w:t>
            </w:r>
          </w:p>
        </w:tc>
      </w:tr>
    </w:tbl>
    <w:p/>
    <w:p>
      <w:r>
        <w:rPr>
          <w:b/>
        </w:rPr>
        <w:t xml:space="preserve">Décision attendue de JF : confirmer la règle. </w:t>
      </w:r>
      <w:r>
        <w:t>Je n'ai pas relu les consignes de la revue sur ce point (docs/soumission/consignes/). La convention du volume imprimé est la plus courante pour un article paru dans un volume paginé.</w:t>
      </w:r>
    </w:p>
    <w:p>
      <w:r>
        <w:rPr>
          <w:b/>
        </w:rPr>
        <w:t xml:space="preserve">SILVA, Quast et al. [36]. </w:t>
      </w:r>
      <w:r>
        <w:t>Crossref ne donne pour [36] qu'une mise en ligne en 2012 (année « issued » 2012), sans date d'impression. L'article cite 2013, année du volume 41, numéro « Database issue ». C'est cohérent avec la règle, mais Crossref ne permet pas de le vérifier : contrôler sur la page de l'éditeur.</w:t>
      </w:r>
    </w:p>
    <w:p>
      <w:pPr>
        <w:pStyle w:val="Heading2"/>
      </w:pPr>
      <w:r>
        <w:t>3.2 Sinama et al. 2013 [28]</w:t>
      </w:r>
    </w:p>
    <w:p>
      <w:r>
        <w:t>Notice citée : Sinama M, Gilles A, Costedoat C, Corse E, Olivier J-M, Chappaz R, Pech N. Non-homogeneous combination of two porous genomes induces complex body shape trajectories in cyprinid hybrids. Front Zool. 2013;10:22. L'année est conforme à Crossref (volume imprimé 2013).</w:t>
      </w:r>
    </w:p>
    <w:p>
      <w:r>
        <w:t>La question n'est donc pas la date mais le choix de la notice. Le 5 octobre, deux notices étaient possibles (la thèse de M. Sinama ou cet article de Frontiers in Zoology) ; l'article a été retenu, à confirmer. La phrase qui le cite :</w:t>
      </w:r>
    </w:p>
    <w:p>
      <w:r>
        <w:t>« Hybridisation occurs in the patchily distributed sympatric areas of the basin, with an incidence unrelated to habitat characteristics [27–29] — the configuration of a mosaic hybrid zone [30]. »</w:t>
      </w:r>
    </w:p>
    <w:p>
      <w:r>
        <w:rPr>
          <w:b/>
        </w:rPr>
        <w:t xml:space="preserve">Décision attendue de JF : </w:t>
      </w:r>
      <w:r>
        <w:t>L'article de Frontiers in Zoology porte sur la forme du corps des hybrides. S'il ne traite pas de l'incidence de l'hybridation selon l'habitat, la thèse est peut-être la bonne source pour cette phrase ; il faudrait alors donner sa notice complète (année, université).</w:t>
      </w:r>
    </w:p>
    <w:p>
      <w:pPr>
        <w:pStyle w:val="Heading2"/>
      </w:pPr>
      <w:r>
        <w:t>3.3 Pertinence de deux références</w:t>
      </w:r>
    </w:p>
    <w:p>
      <w:pPr>
        <w:pStyle w:val="ListBullet"/>
        <w:numPr>
          <w:ilvl w:val="0"/>
          <w:numId w:val="1"/>
        </w:numPr>
      </w:pPr>
      <w:r>
        <w:rPr>
          <w:b/>
        </w:rPr>
        <w:t xml:space="preserve">Wang 2015 [11]. </w:t>
      </w:r>
      <w:r>
        <w:t>« Introgressive hybridisation may disrupt co-adapted gene complexes and thereby alter close host–microbe interactions [11]; … » (Background). Référence : Wang et al., Nat Commun 2015 (souris hybrides).</w:t>
      </w:r>
    </w:p>
    <w:p>
      <w:pPr>
        <w:pStyle w:val="ListBullet"/>
        <w:numPr>
          <w:ilvl w:val="0"/>
          <w:numId w:val="1"/>
        </w:numPr>
      </w:pPr>
      <w:r>
        <w:rPr>
          <w:b/>
        </w:rPr>
        <w:t xml:space="preserve">Sevellec 2014 [6]. </w:t>
      </w:r>
      <w:r>
        <w:t>« … surveys of wild populations accordingly report a predominant environmental component of variation in bacterial composition [6–8]. » (Background). Référence : Sevellec et al., J Evol Biol 2014 (corégones). Sevellec et al. 2019 [19] est cité ailleurs dans sa version publiée.</w:t>
      </w:r>
    </w:p>
    <w:p>
      <w:r>
        <w:t>Décision attendue de JF : garder, remplacer ou retirer chacune. Retirer une référence oblige à renuméroter la liste.</w:t>
      </w:r>
    </w:p>
    <w:p>
      <w:pPr>
        <w:pStyle w:val="Heading2"/>
      </w:pPr>
      <w:r>
        <w:t>3.4 Défauts de forme trouvés le 7 octobre</w:t>
      </w:r>
    </w:p>
    <w:p>
      <w:r>
        <w:t>Trouvés en contrôlant la liste. Aucun ne change le sens. Correction proposée dans Article.docx, par script et avec contrôle md5 de la version d'entrée, puis régénération du paquet.</w:t>
      </w:r>
    </w:p>
    <w:tbl>
      <w:tblPr>
        <w:tblStyle w:val="TableGrid"/>
        <w:tblW w:type="auto" w:w="0"/>
        <w:tblLook w:firstColumn="1" w:firstRow="1" w:lastColumn="0" w:lastRow="0" w:noHBand="0" w:noVBand="1" w:val="04A0"/>
        <w:tblCaption w:val="Réf. : Défaut, Correction proposée"/>
      </w:tblPr>
      <w:tblGrid>
        <w:gridCol w:w="2880"/>
        <w:gridCol w:w="2880"/>
        <w:gridCol w:w="2880"/>
      </w:tblGrid>
      <w:tr>
        <w:trPr>
          <w:tblHeader w:val="true"/>
        </w:trPr>
        <w:tc>
          <w:tcPr>
            <w:tcW w:type="dxa" w:w="2880"/>
            <w:shd w:val="clear" w:color="auto" w:fill="1565C0"/>
          </w:tcPr>
          <w:p>
            <w:pPr>
              <w:spacing w:line="276" w:lineRule="auto"/>
            </w:pPr>
            <w:r>
              <w:rPr>
                <w:rFonts w:ascii="Arial" w:hAnsi="Arial"/>
                <w:sz w:val="20"/>
              </w:rPr>
            </w:r>
            <w:r>
              <w:rPr>
                <w:rFonts w:ascii="Arial" w:hAnsi="Arial"/>
                <w:b/>
                <w:color w:val="FFFFFF"/>
                <w:sz w:val="20"/>
              </w:rPr>
              <w:t>Réf.</w:t>
            </w:r>
          </w:p>
        </w:tc>
        <w:tc>
          <w:tcPr>
            <w:tcW w:type="dxa" w:w="2880"/>
            <w:shd w:val="clear" w:color="auto" w:fill="1565C0"/>
          </w:tcPr>
          <w:p>
            <w:pPr>
              <w:spacing w:line="276" w:lineRule="auto"/>
            </w:pPr>
            <w:r>
              <w:rPr>
                <w:rFonts w:ascii="Arial" w:hAnsi="Arial"/>
                <w:sz w:val="20"/>
              </w:rPr>
            </w:r>
            <w:r>
              <w:rPr>
                <w:rFonts w:ascii="Arial" w:hAnsi="Arial"/>
                <w:b/>
                <w:color w:val="FFFFFF"/>
                <w:sz w:val="20"/>
              </w:rPr>
              <w:t>Défaut</w:t>
            </w:r>
          </w:p>
        </w:tc>
        <w:tc>
          <w:tcPr>
            <w:tcW w:type="dxa" w:w="2880"/>
            <w:shd w:val="clear" w:color="auto" w:fill="1565C0"/>
          </w:tcPr>
          <w:p>
            <w:pPr>
              <w:spacing w:line="276" w:lineRule="auto"/>
            </w:pPr>
            <w:r>
              <w:rPr>
                <w:rFonts w:ascii="Arial" w:hAnsi="Arial"/>
                <w:sz w:val="20"/>
              </w:rPr>
            </w:r>
            <w:r>
              <w:rPr>
                <w:rFonts w:ascii="Arial" w:hAnsi="Arial"/>
                <w:b/>
                <w:color w:val="FFFFFF"/>
                <w:sz w:val="20"/>
              </w:rPr>
              <w:t>Correction proposée</w:t>
            </w:r>
          </w:p>
        </w:tc>
      </w:tr>
      <w:tr>
        <w:tc>
          <w:tcPr>
            <w:tcW w:type="dxa" w:w="2880"/>
          </w:tcPr>
          <w:p>
            <w:pPr>
              <w:spacing w:line="276" w:lineRule="auto"/>
            </w:pPr>
            <w:r>
              <w:rPr>
                <w:rFonts w:ascii="Arial" w:hAnsi="Arial"/>
                <w:sz w:val="20"/>
              </w:rPr>
              <w:t>[3], [10], [17], [33], [43]</w:t>
            </w:r>
          </w:p>
        </w:tc>
        <w:tc>
          <w:tcPr>
            <w:tcW w:type="dxa" w:w="2880"/>
          </w:tcPr>
          <w:p>
            <w:pPr>
              <w:spacing w:line="276" w:lineRule="auto"/>
            </w:pPr>
            <w:r>
              <w:rPr>
                <w:rFonts w:ascii="Arial" w:hAnsi="Arial"/>
                <w:sz w:val="20"/>
              </w:rPr>
              <w:t>Identifiant d'article mSystems, mBio ou mSphere écrit avec un tiret demi-cadratin (ex. e01785–15)</w:t>
            </w:r>
          </w:p>
        </w:tc>
        <w:tc>
          <w:tcPr>
            <w:tcW w:type="dxa" w:w="2880"/>
          </w:tcPr>
          <w:p>
            <w:pPr>
              <w:spacing w:line="276" w:lineRule="auto"/>
            </w:pPr>
            <w:r>
              <w:rPr>
                <w:rFonts w:ascii="Arial" w:hAnsi="Arial"/>
                <w:sz w:val="20"/>
              </w:rPr>
              <w:t>Trait d'union, comme dans le DOI : e01785-15, e00331-19, e01181-22, e00032-16, e00354-23</w:t>
            </w:r>
          </w:p>
        </w:tc>
      </w:tr>
      <w:tr>
        <w:tc>
          <w:tcPr>
            <w:tcW w:type="dxa" w:w="2880"/>
          </w:tcPr>
          <w:p>
            <w:pPr>
              <w:spacing w:line="276" w:lineRule="auto"/>
            </w:pPr>
            <w:r>
              <w:rPr>
                <w:rFonts w:ascii="Arial" w:hAnsi="Arial"/>
                <w:sz w:val="20"/>
              </w:rPr>
              <w:t>[27], [30]</w:t>
            </w:r>
          </w:p>
        </w:tc>
        <w:tc>
          <w:tcPr>
            <w:tcW w:type="dxa" w:w="2880"/>
          </w:tcPr>
          <w:p>
            <w:pPr>
              <w:spacing w:line="276" w:lineRule="auto"/>
            </w:pPr>
            <w:r>
              <w:rPr>
                <w:rFonts w:ascii="Arial" w:hAnsi="Arial"/>
                <w:sz w:val="20"/>
              </w:rPr>
              <w:t>Noms d'auteurs en capitales (COSTEDOAT C, PECH N… ; SEEHAUSEN O…), repris tels quels de Crossref</w:t>
            </w:r>
          </w:p>
        </w:tc>
        <w:tc>
          <w:tcPr>
            <w:tcW w:type="dxa" w:w="2880"/>
          </w:tcPr>
          <w:p>
            <w:pPr>
              <w:spacing w:line="276" w:lineRule="auto"/>
            </w:pPr>
            <w:r>
              <w:rPr>
                <w:rFonts w:ascii="Arial" w:hAnsi="Arial"/>
                <w:sz w:val="20"/>
              </w:rPr>
              <w:t>Costedoat C, Pech N, Salducci M-D, Chappaz R, Gilles A ; Seehausen O, Takimoto G, Roy D, Jokela J</w:t>
            </w:r>
          </w:p>
        </w:tc>
      </w:tr>
      <w:tr>
        <w:tc>
          <w:tcPr>
            <w:tcW w:type="dxa" w:w="2880"/>
          </w:tcPr>
          <w:p>
            <w:pPr>
              <w:spacing w:line="276" w:lineRule="auto"/>
            </w:pPr>
            <w:r>
              <w:rPr>
                <w:rFonts w:ascii="Arial" w:hAnsi="Arial"/>
                <w:sz w:val="20"/>
              </w:rPr>
              <w:t>[5]</w:t>
            </w:r>
          </w:p>
        </w:tc>
        <w:tc>
          <w:tcPr>
            <w:tcW w:type="dxa" w:w="2880"/>
          </w:tcPr>
          <w:p>
            <w:pPr>
              <w:spacing w:line="276" w:lineRule="auto"/>
            </w:pPr>
            <w:r>
              <w:rPr>
                <w:rFonts w:ascii="Arial" w:hAnsi="Arial"/>
                <w:sz w:val="20"/>
              </w:rPr>
              <w:t>Front Microbiol. 2014;5 : pas de numéro d'article (Crossref n'en fournit pas)</w:t>
            </w:r>
          </w:p>
        </w:tc>
        <w:tc>
          <w:tcPr>
            <w:tcW w:type="dxa" w:w="2880"/>
          </w:tcPr>
          <w:p>
            <w:pPr>
              <w:spacing w:line="276" w:lineRule="auto"/>
            </w:pPr>
            <w:r>
              <w:rPr>
                <w:rFonts w:ascii="Arial" w:hAnsi="Arial"/>
                <w:sz w:val="20"/>
              </w:rPr>
              <w:t>2014;5:207 d'après le DOI (fmicb.2014.00207) ; à vérifier sur la page de l'éditeur</w:t>
            </w:r>
          </w:p>
        </w:tc>
      </w:tr>
      <w:tr>
        <w:tc>
          <w:tcPr>
            <w:tcW w:type="dxa" w:w="2880"/>
          </w:tcPr>
          <w:p>
            <w:pPr>
              <w:spacing w:line="276" w:lineRule="auto"/>
            </w:pPr>
            <w:r>
              <w:rPr>
                <w:rFonts w:ascii="Arial" w:hAnsi="Arial"/>
                <w:sz w:val="20"/>
              </w:rPr>
              <w:t>[38]</w:t>
            </w:r>
          </w:p>
        </w:tc>
        <w:tc>
          <w:tcPr>
            <w:tcW w:type="dxa" w:w="2880"/>
          </w:tcPr>
          <w:p>
            <w:pPr>
              <w:spacing w:line="276" w:lineRule="auto"/>
            </w:pPr>
            <w:r>
              <w:rPr>
                <w:rFonts w:ascii="Arial" w:hAnsi="Arial"/>
                <w:sz w:val="20"/>
              </w:rPr>
              <w:t>« et al.. » : point doublé</w:t>
            </w:r>
          </w:p>
        </w:tc>
        <w:tc>
          <w:tcPr>
            <w:tcW w:type="dxa" w:w="2880"/>
          </w:tcPr>
          <w:p>
            <w:pPr>
              <w:spacing w:line="276" w:lineRule="auto"/>
            </w:pPr>
            <w:r>
              <w:rPr>
                <w:rFonts w:ascii="Arial" w:hAnsi="Arial"/>
                <w:sz w:val="20"/>
              </w:rPr>
              <w:t>« et al. »</w:t>
            </w:r>
          </w:p>
        </w:tc>
      </w:tr>
      <w:tr>
        <w:tc>
          <w:tcPr>
            <w:tcW w:type="dxa" w:w="2880"/>
          </w:tcPr>
          <w:p>
            <w:pPr>
              <w:spacing w:line="276" w:lineRule="auto"/>
            </w:pPr>
            <w:r>
              <w:rPr>
                <w:rFonts w:ascii="Arial" w:hAnsi="Arial"/>
                <w:sz w:val="20"/>
              </w:rPr>
              <w:t>[47]</w:t>
            </w:r>
          </w:p>
        </w:tc>
        <w:tc>
          <w:tcPr>
            <w:tcW w:type="dxa" w:w="2880"/>
          </w:tcPr>
          <w:p>
            <w:pPr>
              <w:spacing w:line="276" w:lineRule="auto"/>
            </w:pPr>
            <w:r>
              <w:rPr>
                <w:rFonts w:ascii="Arial" w:hAnsi="Arial"/>
                <w:sz w:val="20"/>
              </w:rPr>
              <w:t>vegan sans année</w:t>
            </w:r>
          </w:p>
        </w:tc>
        <w:tc>
          <w:tcPr>
            <w:tcW w:type="dxa" w:w="2880"/>
          </w:tcPr>
          <w:p>
            <w:pPr>
              <w:spacing w:line="276" w:lineRule="auto"/>
            </w:pPr>
            <w:r>
              <w:rPr>
                <w:rFonts w:ascii="Arial" w:hAnsi="Arial"/>
                <w:sz w:val="20"/>
              </w:rPr>
              <w:t>Ajouter 2026 : la version 2.7-5 est publiée sur CRAN le 25/05/2026 (DESCRIPTION de l'env dada2 sur meso)</w:t>
            </w:r>
          </w:p>
        </w:tc>
      </w:tr>
      <w:tr>
        <w:tc>
          <w:tcPr>
            <w:tcW w:type="dxa" w:w="2880"/>
          </w:tcPr>
          <w:p>
            <w:pPr>
              <w:spacing w:line="276" w:lineRule="auto"/>
            </w:pPr>
            <w:r>
              <w:rPr>
                <w:rFonts w:ascii="Arial" w:hAnsi="Arial"/>
                <w:sz w:val="20"/>
              </w:rPr>
              <w:t>[22]</w:t>
            </w:r>
          </w:p>
        </w:tc>
        <w:tc>
          <w:tcPr>
            <w:tcW w:type="dxa" w:w="2880"/>
          </w:tcPr>
          <w:p>
            <w:pPr>
              <w:spacing w:line="276" w:lineRule="auto"/>
            </w:pPr>
            <w:r>
              <w:rPr>
                <w:rFonts w:ascii="Arial" w:hAnsi="Arial"/>
                <w:sz w:val="20"/>
              </w:rPr>
              <w:t>Donohue et al., prépublication bioRxiv (déposée le 11/12/2025) ; au 07/10/2026, Crossref ne la relie à aucune version publiée</w:t>
            </w:r>
          </w:p>
        </w:tc>
        <w:tc>
          <w:tcPr>
            <w:tcW w:type="dxa" w:w="2880"/>
          </w:tcPr>
          <w:p>
            <w:pPr>
              <w:spacing w:line="276" w:lineRule="auto"/>
            </w:pPr>
            <w:r>
              <w:rPr>
                <w:rFonts w:ascii="Arial" w:hAnsi="Arial"/>
                <w:sz w:val="20"/>
              </w:rPr>
              <w:t>Revérifier juste avant la soumission ; citer la version publiée si elle existe</w:t>
            </w:r>
          </w:p>
        </w:tc>
      </w:tr>
      <w:tr>
        <w:tc>
          <w:tcPr>
            <w:tcW w:type="dxa" w:w="2880"/>
          </w:tcPr>
          <w:p>
            <w:pPr>
              <w:spacing w:line="276" w:lineRule="auto"/>
            </w:pPr>
            <w:r>
              <w:rPr>
                <w:rFonts w:ascii="Arial" w:hAnsi="Arial"/>
                <w:sz w:val="20"/>
              </w:rPr>
              <w:t>[26]</w:t>
            </w:r>
          </w:p>
        </w:tc>
        <w:tc>
          <w:tcPr>
            <w:tcW w:type="dxa" w:w="2880"/>
          </w:tcPr>
          <w:p>
            <w:pPr>
              <w:spacing w:line="276" w:lineRule="auto"/>
            </w:pPr>
            <w:r>
              <w:rPr>
                <w:rFonts w:ascii="Arial" w:hAnsi="Arial"/>
                <w:sz w:val="20"/>
              </w:rPr>
              <w:t>Thèse de Gilles 1998 : ni université ni ville</w:t>
            </w:r>
          </w:p>
        </w:tc>
        <w:tc>
          <w:tcPr>
            <w:tcW w:type="dxa" w:w="2880"/>
          </w:tcPr>
          <w:p>
            <w:pPr>
              <w:spacing w:line="276" w:lineRule="auto"/>
            </w:pPr>
            <w:r>
              <w:rPr>
                <w:rFonts w:ascii="Arial" w:hAnsi="Arial"/>
                <w:sz w:val="20"/>
              </w:rPr>
              <w:t>Ajouter l'établissement ; à fournir par JF</w:t>
            </w:r>
          </w:p>
        </w:tc>
      </w:tr>
      <w:tr>
        <w:tc>
          <w:tcPr>
            <w:tcW w:type="dxa" w:w="2880"/>
          </w:tcPr>
          <w:p>
            <w:pPr>
              <w:spacing w:line="276" w:lineRule="auto"/>
            </w:pPr>
            <w:r>
              <w:rPr>
                <w:rFonts w:ascii="Arial" w:hAnsi="Arial"/>
                <w:sz w:val="20"/>
              </w:rPr>
              <w:t>[51]</w:t>
            </w:r>
          </w:p>
        </w:tc>
        <w:tc>
          <w:tcPr>
            <w:tcW w:type="dxa" w:w="2880"/>
          </w:tcPr>
          <w:p>
            <w:pPr>
              <w:spacing w:line="276" w:lineRule="auto"/>
            </w:pPr>
            <w:r>
              <w:rPr>
                <w:rFonts w:ascii="Arial" w:hAnsi="Arial"/>
                <w:sz w:val="20"/>
              </w:rPr>
              <w:t>Dépôt GitHub « Accessed 3 Oct 2026 »</w:t>
            </w:r>
          </w:p>
        </w:tc>
        <w:tc>
          <w:tcPr>
            <w:tcW w:type="dxa" w:w="2880"/>
          </w:tcPr>
          <w:p>
            <w:pPr>
              <w:spacing w:line="276" w:lineRule="auto"/>
            </w:pPr>
            <w:r>
              <w:rPr>
                <w:rFonts w:ascii="Arial" w:hAnsi="Arial"/>
                <w:sz w:val="20"/>
              </w:rPr>
              <w:t>Mettre la date de soumission ; remplacer ou compléter par le DOI Zenodo (2.1)</w:t>
            </w:r>
          </w:p>
        </w:tc>
      </w:tr>
    </w:tbl>
    <w:p/>
    <w:p>
      <w:r>
        <w:t>HybridMicrobiomes [49] : version 0.1.1, publiée sur CRAN le 05/12/2023, citée 2023 : conforme.</w:t>
      </w:r>
    </w:p>
    <w:p>
      <w:pPr>
        <w:pStyle w:val="Heading1"/>
      </w:pPr>
      <w:r>
        <w:t>4 Manuscrit : points de forme (JF)</w:t>
      </w:r>
    </w:p>
    <w:p>
      <w:pPr>
        <w:pStyle w:val="ListBullet"/>
        <w:numPr>
          <w:ilvl w:val="0"/>
          <w:numId w:val="1"/>
        </w:numPr>
      </w:pPr>
      <w:r>
        <w:rPr>
          <w:b/>
        </w:rPr>
        <w:t xml:space="preserve">Table S5 : </w:t>
      </w:r>
      <w:r>
        <w:t>au §8.6, la phrase « Monte-Carlo error … (Supplementary Table S5; details in Supplementary Note S2) » devient « Additional file 7 » dans le paquet : faut-il garder cet appel ?</w:t>
      </w:r>
    </w:p>
    <w:p>
      <w:pPr>
        <w:pStyle w:val="ListBullet"/>
        <w:numPr>
          <w:ilvl w:val="0"/>
          <w:numId w:val="1"/>
        </w:numPr>
      </w:pPr>
      <w:r>
        <w:rPr>
          <w:b/>
        </w:rPr>
        <w:t xml:space="preserve">« Eukaryota » et « Mitochondria » : </w:t>
      </w:r>
      <w:r>
        <w:t>ce sont les libellés de la taxonomie SILVA, laissés en romain : à confirmer.</w:t>
      </w:r>
    </w:p>
    <w:p>
      <w:pPr>
        <w:pStyle w:val="ListBullet"/>
        <w:numPr>
          <w:ilvl w:val="0"/>
          <w:numId w:val="1"/>
        </w:numPr>
      </w:pPr>
      <w:r>
        <w:rPr>
          <w:b/>
        </w:rPr>
        <w:t xml:space="preserve">Pièces jointes : </w:t>
      </w:r>
      <w:r>
        <w:t>lettre d'accompagnement (obligatoire), relecteurs suggérés, résumé graphique (facultatif).</w:t>
      </w:r>
    </w:p>
    <w:p>
      <w:pPr>
        <w:pStyle w:val="Heading1"/>
      </w:pPr>
      <w:r>
        <w:t>5 Attendu d'André</w:t>
      </w:r>
    </w:p>
    <w:p>
      <w:pPr>
        <w:pStyle w:val="ListBullet"/>
        <w:numPr>
          <w:ilvl w:val="0"/>
          <w:numId w:val="1"/>
        </w:numPr>
      </w:pPr>
      <w:r>
        <w:t>Sa part des contributions des auteurs (à intégrer à la réponse de 2.1).</w:t>
      </w:r>
    </w:p>
    <w:p>
      <w:pPr>
        <w:pStyle w:val="Heading1"/>
      </w:pPr>
      <w:r>
        <w:t>6 Préalables techniques (agent)</w:t>
      </w:r>
    </w:p>
    <w:p>
      <w:pPr>
        <w:pStyle w:val="ListNumber"/>
        <w:numPr>
          <w:ilvl w:val="0"/>
          <w:numId w:val="5"/>
        </w:numPr>
      </w:pPr>
      <w:r>
        <w:t>Adapter scripts/72 pour qu'il lise page de titre, contributions, financeurs, DOI et remerciements dans un fichier séparé, et ne garde de marqueur que pour un champ vide. Réduire au passage le marqueur Hérodet à « other acknowledgements ».</w:t>
      </w:r>
    </w:p>
    <w:p>
      <w:pPr>
        <w:pStyle w:val="ListNumber"/>
        <w:numPr>
          <w:ilvl w:val="0"/>
          <w:numId w:val="5"/>
        </w:numPr>
      </w:pPr>
      <w:r>
        <w:t>Appliquer les corrections de la section 3.4 et les décisions des sections 2 à 4 dans Article.docx.</w:t>
      </w:r>
    </w:p>
    <w:p>
      <w:pPr>
        <w:pStyle w:val="ListNumber"/>
        <w:numPr>
          <w:ilvl w:val="0"/>
          <w:numId w:val="5"/>
        </w:numPr>
      </w:pPr>
      <w:r>
        <w:t>Régénérer le paquet (scripts 72, 73, 75 ; poste local, python-docx absent de meso), puis relancer les contrôles du texte (scripts 40 et 30).</w:t>
      </w:r>
    </w:p>
    <w:p>
      <w:pPr>
        <w:pStyle w:val="ListNumber"/>
        <w:numPr>
          <w:ilvl w:val="0"/>
          <w:numId w:val="5"/>
        </w:numPr>
      </w:pPr>
      <w:r>
        <w:t>Archiver le dépôt sur Zenodo (DOI à citer en [51] et dans « Availability of data and materials »), puis resynchroniser le miroir GitHub.</w:t>
      </w:r>
    </w:p>
    <w:p>
      <w:pPr>
        <w:pStyle w:val="Heading1"/>
      </w:pPr>
      <w:r>
        <w:t>7 Dépôt ENA PRJEB124417 (humain au clavier)</w:t>
      </w:r>
    </w:p>
    <w:p>
      <w:pPr>
        <w:pStyle w:val="ListBullet"/>
        <w:numPr>
          <w:ilvl w:val="0"/>
          <w:numId w:val="1"/>
        </w:numPr>
      </w:pPr>
      <w:r>
        <w:rPr>
          <w:b/>
        </w:rPr>
        <w:t xml:space="preserve">Correction : </w:t>
      </w:r>
      <w:r>
        <w:t>le TITLE de ERS31168490 (échantillon 15Per2015Ch03A, pêché le 20/08/2014) indique « Per 2015 » au lieu de « Per 2014 ». Faire un MODIFY de ce seul champ, construit depuis l'état déposé (méthode de scripts/53), en test puis en production. Corriger aussi la valeur de référence avant de revérifier (7_verifier_exhaustif.sh). Procédure : ena_deposit/MEMO_corrections_restantes.md.</w:t>
      </w:r>
    </w:p>
    <w:p>
      <w:pPr>
        <w:pStyle w:val="ListBullet"/>
        <w:numPr>
          <w:ilvl w:val="0"/>
          <w:numId w:val="1"/>
        </w:numPr>
      </w:pPr>
      <w:r>
        <w:rPr>
          <w:b/>
        </w:rPr>
        <w:t xml:space="preserve">Ouverture publique : </w:t>
      </w:r>
      <w:r>
        <w:t>rendre le projet public au moment de la soumission (décision du 03/10).</w:t>
      </w:r>
    </w:p>
    <w:p>
      <w:pPr>
        <w:pStyle w:val="Heading1"/>
      </w:pPr>
      <w:r>
        <w:t>8 Points facultatifs, non bloquants</w:t>
      </w:r>
    </w:p>
    <w:p>
      <w:pPr>
        <w:pStyle w:val="ListBullet"/>
        <w:numPr>
          <w:ilvl w:val="0"/>
          <w:numId w:val="1"/>
        </w:numPr>
      </w:pPr>
      <w:r>
        <w:t>Identité de l'ASV0185 (phylum non assigné ; 80 % des lectures midgut de 2015_Caa_1003) : BLAST non fait.</w:t>
      </w:r>
    </w:p>
    <w:p>
      <w:pPr>
        <w:pStyle w:val="ListBullet"/>
        <w:numPr>
          <w:ilvl w:val="0"/>
          <w:numId w:val="1"/>
        </w:numPr>
      </w:pPr>
      <w:r>
        <w:t>Part des Mycoplasmatales, comptées dans Bacillota par SILVA 138.2.</w:t>
      </w:r>
    </w:p>
    <w:p>
      <w:pPr>
        <w:pStyle w:val="ListBullet"/>
        <w:numPr>
          <w:ilvl w:val="0"/>
          <w:numId w:val="1"/>
        </w:numPr>
      </w:pPr>
      <w:r>
        <w:t>Excès de 12S en plaque 2, colonnes 06–08 (R40) : mécanisme à confirmer.</w:t>
      </w:r>
    </w:p>
    <w:p>
      <w:pPr>
        <w:pStyle w:val="ListBullet"/>
        <w:numPr>
          <w:ilvl w:val="0"/>
          <w:numId w:val="1"/>
        </w:numPr>
      </w:pPr>
      <w:r>
        <w:t>Mécanismes de R22, R29 et R30 : à confirmer.</w:t>
      </w:r>
    </w:p>
    <w:p>
      <w:pPr>
        <w:pStyle w:val="ListBullet"/>
        <w:numPr>
          <w:ilvl w:val="0"/>
          <w:numId w:val="1"/>
        </w:numPr>
      </w:pPr>
      <w:r>
        <w:t>_etat/DECISIONS.md, entrée du 03/10 sur le 4H : « ± 0,067 » à remplacer par 0,066 (valeur corrigée le 05/10).</w:t>
      </w:r>
    </w:p>
    <w:p>
      <w:pPr>
        <w:pStyle w:val="ListBullet"/>
        <w:numPr>
          <w:ilvl w:val="0"/>
          <w:numId w:val="1"/>
        </w:numPr>
      </w:pPr>
      <w:r>
        <w:t>Hygiène du dépôt : CLAUDE.md périmé, doublons à la racine, environ 1 Go de tables ASV redondantes, nom historique fig_S3_permdisp.png écrit par scripts/41.</w:t>
      </w:r>
    </w:p>
    <w:p>
      <w:pPr>
        <w:pStyle w:val="Heading1"/>
      </w:pPr>
      <w:r>
        <w:t>Méthode de la vérification des références</w:t>
      </w:r>
    </w:p>
    <w:p>
      <w:r>
        <w:t>Liste de références extraite de docs/manuscrit/Article.docx sur meso le 07/10/2026 (51 références). Pour les 48 DOI présents, interrogation de l'API Crossref (api.crossref.org/works) : dates published-print, published-online et issued, volume, page ou article-number. Comparaison automatique avec l'année, le volume et la pagination cités (tirets normalisés). Dates de publication CRAN lues dans les fichiers DESCRIPTION des paquets installés sur meso. Non vérifiés : listes d'auteurs, titres, rétractations, thèse [26], dépôt [51]. Table détaillée : docs/biblio/verif_crossref_2026-10-07.csv.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left"/>
    </w:pPr>
    <w:rPr>
      <w:rFonts w:ascii="Arial" w:hAnsi="Arial" w:eastAsia="Arial"/>
      <w:sz w:val="24"/>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Arial" w:hAnsi="Arial" w:eastAsia="Arial"/>
      <w:b/>
      <w:bCs/>
      <w:color w:val="1565C0"/>
      <w:sz w:val="32"/>
      <w:szCs w:val="28"/>
      <w:lang w:val="fr-FR"/>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Arial" w:hAnsi="Arial" w:eastAsia="Arial"/>
      <w:b/>
      <w:bCs/>
      <w:color w:val="1565C0"/>
      <w:sz w:val="28"/>
      <w:szCs w:val="26"/>
      <w:lang w:val="fr-FR"/>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Arial" w:hAnsi="Arial" w:eastAsia="Arial"/>
      <w:b/>
      <w:bCs/>
      <w:color w:val="1565C0"/>
      <w:sz w:val="24"/>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left"/>
    </w:pPr>
    <w:rPr>
      <w:rFonts w:asciiTheme="majorHAnsi" w:eastAsiaTheme="majorEastAsia" w:hAnsiTheme="majorHAnsi" w:cstheme="majorBidi" w:ascii="Arial" w:hAnsi="Arial" w:eastAsia="Arial"/>
      <w:b/>
      <w:color w:val="1565C0"/>
      <w:spacing w:val="5"/>
      <w:kern w:val="28"/>
      <w:sz w:val="40"/>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jc w:val="left"/>
    </w:pPr>
    <w:rPr>
      <w:rFonts w:ascii="Arial" w:hAnsi="Arial" w:eastAsia="Arial"/>
      <w:sz w:val="24"/>
      <w:lang w:val="fr-F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jc w:val="left"/>
    </w:pPr>
    <w:rPr>
      <w:rFonts w:ascii="Arial" w:hAnsi="Arial" w:eastAsia="Arial"/>
      <w:sz w:val="24"/>
      <w:lang w:val="fr-F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microbiome-hybrid : points à régler avant la soumission à Animal Microbiome</dc:title>
  <dc:subject>Liste des décisions, informations et corrections en attente, état du 7 octobre 2026</dc:subject>
  <dc:creator>Projet microbiome-hybrid</dc:creator>
  <cp:keywords>microbiome-hybrid; soumission; références; Crossref</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