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 xml:space="preserve">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w:t>
      </w:r>
      <w:r>
        <w:rPr>
          <w:i w:val="0"/>
          <w:color w:val="1F4E79"/>
        </w:rPr>
        <w:t>TL: total length. Sex: F, female; M, male; NA, sex not determined (juveniles, or sex not assigned).</w:t>
      </w:r>
      <w:r>
        <w:rPr>
          <w:i w:val="0"/>
          <w:color w:val="1F4E79"/>
        </w:rPr>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[Codes de sexe : les individus non sexés sont notés NA (69), à la demande d'André (2026-10-06) ; les métadonnées du projet gardent X (52, taille moyenne 13,0 cm, juvéniles présumés) et vide (17, 18,2 cm, adultes non sexés présumés) — correspondance [À CONFIRMER] par André.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§3 and §8.8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Pr>
        <w:pStyle w:val="Heading1"/>
      </w:pPr>
      <w:r>
        <w:rPr>
          <w:color w:val="1F4E79"/>
        </w:rPr>
        <w:t>Note S2. Sequence processing, quality control and repeated rarefaction</w:t>
      </w:r>
    </w:p>
    <w:p>
      <w:pPr/>
      <w:r>
        <w:rPr>
          <w:color w:val="1F4E79"/>
        </w:rPr>
        <w:t>This note gives in full the parameters and controls summarised in Materials and Methods §4–§9 of the main text; the paragraphs are those of an earlier, longer version of the Methods, moved here unchanged except for cross-references. Reference numbers refer to the main-text reference list.</w:t>
      </w:r>
    </w:p>
    <w:p>
      <w:pPr/>
      <w:r>
        <w:rPr>
          <w:b/>
          <w:color w:val="1F4E79"/>
        </w:rPr>
        <w:t xml:space="preserve">Library preparation and sequencing. </w:t>
      </w:r>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pPr/>
      <w:r>
        <w:rPr>
          <w:b/>
          <w:color w:val="1F4E79"/>
        </w:rPr>
        <w:t xml:space="preserve">Replication structure. </w:t>
      </w:r>
      <w:r>
        <w:rPr>
          <w:color w:val="1F4E79"/>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(Table S3).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pPr/>
      <w:r>
        <w:rPr>
          <w:b/>
          <w:color w:val="1F4E79"/>
        </w:rPr>
        <w:t xml:space="preserve">Controls. </w:t>
      </w:r>
      <w:r>
        <w:rPr>
          <w:color w:val="1F4E79"/>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pPr/>
      <w:r>
        <w:rPr>
          <w:b/>
          <w:color w:val="1F4E79"/>
        </w:rPr>
        <w:t xml:space="preserve">Pipeline. </w:t>
      </w:r>
      <w:r>
        <w:rPr>
          <w:color w:val="1F4E79"/>
        </w:rPr>
        <w:t>Reads were processed with a custom, version-controlled pipeline (git-tracked; each parameter justified in the script headers). The three runs were processed separately through denoising and merged thereafter. Software versions: cutadapt 5.0 [34]; R 4.5.3 with DADA2 1.38.0 [35]; SILVA reference v138.2 [36] (DADA2 formatted, Zenodo 14169026); BLAST+ 2.13.0; FastQC and MultiQC for quality control. The 16S V4 primers, being also the sequencing primers (Schloss dual-index protocol), are not present in the reads; no 5′ primer trimming was therefore applied.</w:t>
      </w:r>
    </w:p>
    <w:p>
      <w:pPr/>
      <w:r>
        <w:rPr>
          <w:b/>
          <w:color w:val="1F4E79"/>
        </w:rPr>
        <w:t xml:space="preserve">Quality control. </w:t>
      </w:r>
      <w:r>
        <w:rPr>
          <w:color w:val="1F4E79"/>
        </w:rPr>
        <w:t>Per-run read quality was assessed with FastQC and aggregated with MultiQC.</w:t>
      </w:r>
    </w:p>
    <w:p>
      <w:pPr/>
      <w:r>
        <w:rPr>
          <w:b/>
          <w:color w:val="1F4E79"/>
        </w:rPr>
        <w:t xml:space="preserve">Removal of co-amplified host 12S rRNA. </w:t>
      </w:r>
      <w:r>
        <w:rPr>
          <w:color w:val="1F4E79"/>
        </w:rPr>
        <w:t xml:space="preserve">The 16S V4 primers co-amplify the host mitochondrial 12S rRNA gene </w:t>
      </w:r>
      <w:r>
        <w:rPr>
          <w:color w:val="1F4E79"/>
        </w:rPr>
        <w:t>(host 12S and primer dimers: 14–15 % of reads per run; median 12 % per biological sample, range 0–99 %)</w:t>
      </w:r>
      <w:r>
        <w:rPr>
          <w:color w:val="1F4E79"/>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r>
        <w:rPr>
          <w:b/>
          <w:color w:val="1F4E79"/>
        </w:rPr>
        <w:t xml:space="preserve">ASV inference (DADA2, per run). </w:t>
      </w:r>
      <w:r>
        <w:rPr>
          <w:color w:val="1F4E79"/>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r>
        <w:rPr>
          <w:b/>
          <w:color w:val="1F4E79"/>
        </w:rPr>
        <w:t xml:space="preserve">Table merging, chimera removal and taxonomy. </w:t>
      </w:r>
      <w:r>
        <w:rPr>
          <w:color w:val="1F4E79"/>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r>
        <w:rPr>
          <w:b/>
          <w:color w:val="1F4E79"/>
        </w:rPr>
        <w:t xml:space="preserve">Non-target filtering. </w:t>
      </w:r>
      <w:r>
        <w:rPr>
          <w:color w:val="1F4E79"/>
        </w:rPr>
        <w:t>ASVs assigned to Eukaryota or unassigned at the domain level, to Chloroplast (Order) or to Mitochondria (Family) were removed; the mitochondrial ASVs correspond to residual full-length host 12S captured by the taxonomic safety net.</w:t>
      </w:r>
    </w:p>
    <w:p>
      <w:pPr/>
      <w:r>
        <w:rPr>
          <w:b/>
          <w:color w:val="1F4E79"/>
        </w:rPr>
        <w:t xml:space="preserve">Resulting dataset. </w:t>
      </w:r>
      <w:r>
        <w:rPr>
          <w:color w:val="1F4E79"/>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r>
        <w:rPr>
          <w:b/>
          <w:color w:val="1F4E79"/>
        </w:rPr>
        <w:t xml:space="preserve">Mock community. </w:t>
      </w:r>
      <w:r>
        <w:rPr>
          <w:color w:val="1F4E79"/>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w:t>
      </w:r>
      <w:r>
        <w:rPr>
          <w:i/>
          <w:color w:val="1F4E79"/>
        </w:rPr>
        <w:t>Escherichia coli</w:t>
      </w:r>
      <w:r>
        <w:rPr>
          <w:color w:val="1F4E79"/>
        </w:rPr>
        <w:t xml:space="preserve"> and </w:t>
      </w:r>
      <w:r>
        <w:rPr>
          <w:i/>
          <w:color w:val="1F4E79"/>
        </w:rPr>
        <w:t>Salmonella enterica</w:t>
      </w:r>
      <w:r>
        <w:rPr>
          <w:color w:val="1F4E79"/>
        </w:rPr>
        <w:t xml:space="preserve"> each contributed a second divergent ASV at ~99.6%, consistent with their multiple non-identical 16S operons.)</w:t>
      </w:r>
    </w:p>
    <w:p>
      <w:pPr/>
      <w:r>
        <w:rPr>
          <w:color w:val="1F4E79"/>
        </w:rPr>
        <w:t xml:space="preserve">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w:t>
      </w:r>
      <w:r>
        <w:rPr>
          <w:i/>
          <w:color w:val="1F4E79"/>
        </w:rPr>
        <w:t>Enterococcus faecalis</w:t>
      </w:r>
      <w:r>
        <w:rPr>
          <w:color w:val="1F4E79"/>
        </w:rPr>
        <w:t xml:space="preserve"> and </w:t>
      </w:r>
      <w:r>
        <w:rPr>
          <w:i/>
          <w:color w:val="1F4E79"/>
        </w:rPr>
        <w:t>Staphylococcus aureus</w:t>
      </w:r>
      <w:r>
        <w:rPr>
          <w:color w:val="1F4E79"/>
        </w:rPr>
        <w:t>, whose full-length 16S differ between lots — so the mock ASVs match either reference equally and the recovery of 8/8 expected species is independent of the lot assignment.</w:t>
      </w:r>
    </w:p>
    <w:p>
      <w:pPr/>
      <w:r>
        <w:rPr>
          <w:b/>
          <w:color w:val="1F4E79"/>
        </w:rPr>
        <w:t xml:space="preserve">Decontamination. </w:t>
      </w:r>
      <w:r>
        <w:rPr>
          <w:color w:val="1F4E79"/>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r>
        <w:rPr>
          <w:b/>
          <w:color w:val="1F4E79"/>
        </w:rPr>
        <w:t xml:space="preserve">Index hopping. </w:t>
      </w:r>
      <w:r>
        <w:rPr>
          <w:color w:val="1F4E79"/>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r>
        <w:rPr>
          <w:b/>
          <w:color w:val="1F4E79"/>
        </w:rPr>
        <w:t xml:space="preserve">Mock-derived sample-level artefacts. </w:t>
      </w:r>
      <w:r>
        <w:rPr>
          <w:color w:val="1F4E79"/>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r>
        <w:rPr>
          <w:b/>
          <w:color w:val="1F4E79"/>
        </w:rPr>
        <w:t xml:space="preserve">Phylogenetic tree. </w:t>
      </w:r>
      <w:r>
        <w:rPr>
          <w:color w:val="1F4E79"/>
        </w:rPr>
        <w:t>A de novo phylogeny was built from the ASV sequences with QIIME 2 [38] (align-to-tree-mafft-fasttree): multiple alignment with MAFFT [39], masking of highly variable positions, tree inference with FastTree 2 [40], and midpoint rooting. Fragment insertion into a reference backbone (SEPP) was not used because the ASVs are near-complete V4 amplicons (~251 bp) for which de novo alignment is appropriate. The resulting rooted tree covers all ASVs of the analysis table and supports UniFrac distances [41] and Faith's phylogenetic diversity [42].</w:t>
      </w:r>
    </w:p>
    <w:p>
      <w:pPr/>
      <w:r>
        <w:rPr>
          <w:b/>
          <w:color w:val="1F4E79"/>
        </w:rPr>
        <w:t xml:space="preserve">Choice of rarefaction depth. </w:t>
      </w:r>
      <w:r>
        <w:rPr>
          <w:color w:val="1F4E79"/>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color w:val="1F4E79"/>
        </w:rPr>
        <w:t xml:space="preserve">Repeated rarefaction. </w:t>
      </w:r>
      <w:r>
        <w:rPr>
          <w:color w:val="1F4E79"/>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b/>
          <w:color w:val="1F4E79"/>
        </w:rPr>
        <w:t xml:space="preserve">Monte-Carlo error. </w:t>
      </w:r>
      <w:r>
        <w:rPr>
          <w:color w:val="1F4E79"/>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the main-text Results,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(main text, Results). Convergence values are given in Table S5.</w:t>
      </w:r>
    </w:p>
    <w:p>
      <w:pPr/>
      <w:r>
        <w:rPr>
          <w:color w:val="1F4E79"/>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b/>
          <w:color w:val="1F4E79"/>
        </w:rPr>
        <w:t xml:space="preserve">Phylogenetic metrics. </w:t>
      </w:r>
      <w:r>
        <w:rPr>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b/>
          <w:color w:val="1F4E79"/>
        </w:rPr>
        <w:t xml:space="preserve">Depth and sample selection. </w:t>
      </w:r>
      <w:r>
        <w:rPr>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and of 20–48 and 7–36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since they cannot be tested at 500 and the midgut gap (5.7–14.0 and 7.8–8.9 points) persists there in any case. Table S6 and Figure S1.</w:t>
      </w:r>
    </w:p>
    <w:p>
      <w:pPr/>
      <w:r>
        <w:rPr>
          <w:b/>
          <w:color w:val="1F4E79"/>
        </w:rPr>
        <w:t xml:space="preserve">ENA submission. </w:t>
      </w:r>
      <w:r>
        <w:rPr>
          <w:color w:val="1F4E79"/>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Materials and Methods §8.8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(Materials and Methods §8.2) are likewise deposited. Per-run accessions, file names and MD5 checksums for all 4,608 files are given in Table S7.</w:t>
      </w:r>
    </w:p>
    <w:p>
      <w:pPr/>
      <w:r>
        <w:rPr>
          <w:b/>
          <w:color w:val="1F4E79"/>
        </w:rPr>
        <w:t xml:space="preserve">ENA metadata corrections. </w:t>
      </w:r>
      <w:r>
        <w:rPr>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color w:val="1F4E79"/>
        </w:rPr>
        <w:t>Metadata completeness. Sampling-site coordinates and environmental context terms were obtained from the field records and are reported per site in Table S1. Collection dates are given at day resolution for every station except Pertuis, where the two 2014 fishing campaigns are deposited as the interval 2014-07-07/2014-08-20.</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the main-text Results;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pPr>
        <w:pStyle w:val="Heading1"/>
      </w:pPr>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 range across runs</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2.6–3.8 / 3.4–5.7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2.6–7.6 / 4.5–9.3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7.6–27.6 / 9.3–18.8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13.9–31.4 / 10.3–19.9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28.9–32.7 / 17.5–19.8</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given as the range across the three sequencing runs; at 3,000 reads it is 29.0–36.4 / 14.7–19.8 points. The correlation columns do not depend on category. Bray–Curtis was measured with vegan::vegdist and validated against the archived 400-draw matrix (r = 0.99983).</w:t>
      </w:r>
    </w:p>
    <w:p/>
    <w:p>
      <w:r>
        <w:drawing>
          <wp:inline xmlns:a="http://schemas.openxmlformats.org/drawingml/2006/main" xmlns:pic="http://schemas.openxmlformats.org/drawingml/2006/picture">
            <wp:extent cx="5486400" cy="392867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486400" cy="3928674"/>
                    </a:xfrm>
                    <a:prstGeom prst="rect"/>
                  </pic:spPr>
                </pic:pic>
              </a:graphicData>
            </a:graphic>
          </wp:inline>
        </w:drawing>
      </w:r>
    </w:p>
    <w:p>
      <w:r>
        <w:rPr>
          <w:b/>
        </w:rPr>
        <w:t>Figure S1.</w:t>
      </w:r>
      <w:r>
        <w:rPr>
          <w:color w:val="1F4E79"/>
        </w:rPr>
        <w:t xml:space="preserve"> Trade-off between rarefaction depth, metric fidelity and selection bias. (a) Pearson correlation between the dissimilarity matrices computed at each depth and at 3,000 reads, on the fixed set of 1,784 samples retained at 3,000 reads, so that only depth varies. (b) Loss of observed richness relative to 3,000 reads, same samples. (c, d) Retention gap: percentage of </w:t>
      </w:r>
      <w:r>
        <w:rPr>
          <w:i/>
          <w:color w:val="1F4E79"/>
        </w:rPr>
        <w:t>P. toxostoma</w:t>
      </w:r>
      <w:r>
        <w:rPr>
          <w:color w:val="1F4E79"/>
        </w:rPr>
        <w:t xml:space="preserve"> samples minus percentage of hybrid samples reaching each depth, in the caudal fin (c) and the midgut (d), for pass 1 (20 intermediate hybrids) and pass 2 (all 42 hybrids). Lines: sequencing run durance1; shaded bands: range across the three runs (quoted in Materials and Methods §8.6).</w:t>
      </w:r>
      <w:r>
        <w:rPr>
          <w:i/>
          <w:color w:val="888888"/>
          <w:sz w:val="18"/>
        </w:rPr>
        <w:t xml:space="preserve"> [Figure régénérée le 2026-10-05 (ex-Figure S2) : l'ancienne version était en français et son panneau b portait des valeurs recopiées d'une trace antérieure à la reclassification de septembre (30,4 points à 3 000 lectures contre 36,4 recalculés) ; panneaux c et d calculés par scripts/43-retention_profondeur.py.]</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pPr>
        <w:pStyle w:val="Heading1"/>
      </w:pPr>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(§8.7, §8.9).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486400" cy="2171635"/>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486400" cy="2171635"/>
                    </a:xfrm>
                    <a:prstGeom prst="rect"/>
                  </pic:spPr>
                </pic:pic>
              </a:graphicData>
            </a:graphic>
          </wp:inline>
        </w:drawing>
      </w:r>
    </w:p>
    <w:p>
      <w:r>
        <w:rPr>
          <w:i/>
          <w:sz w:val="16"/>
        </w:rPr>
        <w:t>Figure S2.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r>
        <w:drawing>
          <wp:inline xmlns:a="http://schemas.openxmlformats.org/drawingml/2006/main" xmlns:pic="http://schemas.openxmlformats.org/drawingml/2006/picture">
            <wp:extent cx="5486400" cy="5323465"/>
            <wp:docPr id="6" name="Picture 6"/>
            <wp:cNvGraphicFramePr>
              <a:graphicFrameLocks noChangeAspect="1"/>
            </wp:cNvGraphicFramePr>
            <a:graphic>
              <a:graphicData uri="http://schemas.openxmlformats.org/drawingml/2006/picture">
                <pic:pic>
                  <pic:nvPicPr>
                    <pic:cNvPr id="0" name="fig_S4_phyla.png"/>
                    <pic:cNvPicPr/>
                  </pic:nvPicPr>
                  <pic:blipFill>
                    <a:blip r:embed="rId9"/>
                    <a:stretch>
                      <a:fillRect/>
                    </a:stretch>
                  </pic:blipFill>
                  <pic:spPr>
                    <a:xfrm>
                      <a:off x="0" y="0"/>
                      <a:ext cx="5486400" cy="5323465"/>
                    </a:xfrm>
                    <a:prstGeom prst="rect"/>
                  </pic:spPr>
                </pic:pic>
              </a:graphicData>
            </a:graphic>
          </wp:inline>
        </w:drawing>
      </w:r>
    </w:p>
    <w:p>
      <w:r>
        <w:rPr>
          <w:i/>
          <w:sz w:val="16"/>
        </w:rPr>
        <w:t>Figure S3. Phylum-level composition of the 16S microbiota by tissue (a) at each station, all fish pooled, and (b) by genotypic category at the three stations where C. nasus, hybrids and P. toxostoma co-occur. Stacked bars give mean relative abundances of the twelve most abundant bacterial phyla (SILVA 138.2 nomenclature); remaining phyla are pooled as "Other phyla", and reads not assigned at phylum rank are shown as "Unassigned". Libraries with ≥ 3,000 reads after decontamination (1,784 libraries) were converted to relative abundances and averaged per individual × tissue across sequencing runs (628 profiles from 180 individuals). Numbers above bars are individuals. (a) All individuals of each station, genotypic categories pooled; each fish of a station weighs equally. Stations are ordered as in Fig. 1a; because their genotypic composition differs (Fig. 1a), a station bar combines station and category. Pseudomonadota is the most abundant phylum in 33 of the 36 tissue × station profiles, Fusobacteriota in the remaining three (hindgut at Saint-Just-d'Ardèche, midgut at Rosières and Saint-Just-d'Ardèche). Fusobacteriota and Bacillota are more abundant in both gut sections than in both external tissues at eight of nine stations, the exceptions being the Largue canal for Fusobacteriota and Avignon for Bacillota. The caudal fin bar of the Largue canal rests on three individuals. (b) Cn, C. nasus; Hy, all hybrids, intermediate and near-parental pooled; Pt, P. toxostoma. Stations: Canal (usine du Largue), Confluence Buëch-Méouge and Saint-Just-d'Ardèche. Because station is the main source of variation in community composition, categories are compared at equal stations: profiles were averaged per station and category, and each bar is the unweighted mean of the station means, so every station contributes equally and identically to the three categories. Within each tissue a station was kept only if every category had at least two individual profiles; for the caudal fin the Largue canal did not meet this criterion and the bars rest on two stations. Weighting by individuals instead of stations changes any bar segment by at most 6.5 percentage points. Intermediate and near-parental hybrids are pooled because they are unevenly distributed among stations (8 intermediate and 2 near-parental at Confluence Buëch-Méouge, 1 and 5 at Saint-Just-d'Ardèche): under the same two-profile criterion a four-category comparison would retain a single station per tissue. The unassigned fraction in the midgut bars of the Largue canal (a) and of C. nasus (b) comes from a single C. nasus individual in which one amplicon sequence variant unassigned at phylum rank accounts for 80 % of midgut reads; it weighs one ninth of each of these bars. Correspondence with former names: Pseudomonadota = Proteobacteria; Bacillota = Firmicutes (including Mollicutes/Mycoplasmatales, formerly Tenericutes); Bacteroidota = Bacteroidetes; Fusobacteriota = Fusobacteria; Thermodesulfobacteriota includes the former Deltaproteobacteria (Desulfuromonadia, Desulfovibrionia, Desulfobulbia); Actinomycetota = Actinobacteria; Cyanobacteriota = Cyanobacteria. The figure is descriptive; contrasts between categories in community composition are tested in the main text (Fig. 3).</w:t>
      </w:r>
    </w:p>
    <w:p/>
    <w:p>
      <w:pPr>
        <w:pStyle w:val="Heading1"/>
      </w:pPr>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486400" cy="3241012"/>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486400" cy="3241012"/>
                    </a:xfrm>
                    <a:prstGeom prst="rect"/>
                  </pic:spPr>
                </pic:pic>
              </a:graphicData>
            </a:graphic>
          </wp:inline>
        </w:drawing>
      </w:r>
    </w:p>
    <w:p>
      <w:r>
        <w:rPr>
          <w:i/>
          <w:color w:val="1F4E79"/>
          <w:sz w:val="16"/>
        </w:rPr>
        <w:t>Figure S4.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S3.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w:t>
      </w:r>
      <w:r>
        <w:rPr>
          <w:b w:val="0"/>
          <w:i w:val="0"/>
          <w:color w:val="1F4E79"/>
        </w:rPr>
        <w:t>3</w:t>
      </w:r>
      <w:r>
        <w:rPr>
          <w:b w:val="0"/>
          <w:i w:val="0"/>
          <w:color w:val="1F4E79"/>
        </w:rPr>
        <w:t>).</w:t>
      </w:r>
    </w:p>
    <w:p>
      <w:pPr/>
      <w:r>
        <w:rPr>
          <w:i/>
          <w:sz w:val="16"/>
        </w:rPr>
      </w:r>
      <w:r>
        <w:rPr>
          <w:b w:val="0"/>
          <w:i w:val="0"/>
        </w:rPr>
      </w:r>
      <w:r/>
      <w:r>
        <w:rPr>
          <w:b w:val="0"/>
          <w:i w:val="0"/>
          <w:color w:val="1F4E79"/>
        </w:rPr>
      </w:r>
      <w:r>
        <w:rPr>
          <w:b w:val="0"/>
          <w:i w:val="0"/>
          <w:color w:val="1F4E79"/>
        </w:rPr>
      </w:r>
      <w:r>
        <w:rPr>
          <w:i/>
          <w:color w:val="888888"/>
          <w:sz w:val="18"/>
        </w:rPr>
        <w:t>[Décidé par JF le 2026-10-03 : le « host subject id » sera préfixé par la campagne (14Bue1004 / 15Bue1004) dans la même correction MODIFY que les dates de Pertuis ; soumission à lancer par JF (identifiants Webin). Réécrire cette note une fois la correction vérifiée sur l'archive.]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