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i w:val="0"/>
        </w:rPr>
        <w:t>Animals and the microbial communities they harbour form composite biological units in which microbial composition contributes to host performance and to tolerance of environmental constraints [1]. These associations are established largely by the sorting of microbial pools from the surrounding environment, a sorting that reflects host ecology and physiology — feeding behaviour, which selects among available resources,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accordingly, surveys of wild populations report a predominant environmental component of variation in bacterial composition [6–8]. Host genotype is nonetheless not without effect. A fourteen-year follow-up of wild baboons found microbiome phenotypes to be almost universally heritable, but with a typically low heritability that depends on context, and its authors concluded that large sample sizes are required to quantify it [9]; in stickleback, a host genetic influence on the gut microbiome became measurable once biological and technical components of variance had been decomposed beforehand [10]. If host ancestry shapes the fish microbiota, the expected effect is therefore small relative to the environmental one, and detecting it requires both substantial sample sizes and explicit control of the spatial and technical axes along which it could be mimicked.</w:t>
      </w:r>
    </w:p>
    <w:p>
      <w:pPr/>
      <w:r>
        <w:rPr>
          <w:i w:val="0"/>
        </w:rPr>
        <w:t>Secondary contact zones make host ancestry a naturally occurring and naturally replicated variable, and they are where the question of a genomic contribution to microbiota assembly is posed most directly. Introgressive hybridisation may disrupt co-adapted gene complexes and thereby alter close host–microbe interactions [11]; conversely, hybridisation is a source of genomic diversity and adaptive novelty involved in speciation and in range expansion into enlarged ecological niches [12, 13], and this diversity may extend to the microbiota through the acquisition of new microbial taxa. Three outcomes are usually contrasted: an intermediate or additive microbiota, varying monotonically with ancestry; dominance, in which hybrids resemble one parental species; and a transgressive microbiota, lying outside the range of both parents. Camper et al. [14] gave this comparison an explicit framework for host-associated microbiomes, in which four idealised models of taxon membership — Union, Intersection, Gain and Loss — are never realised in pure form, so that the index measures the relative weight of each and the four weights sum to one. The Gain–Loss axis of that framework provides an operational definition of a transgressive microbiota, one that does not presuppose a cost to the host. The distinction matters, because the equation between transgression and dysbiosis has been challenged: on an ecologically successful hybrid lizard, Camper et al. [15] report widespread transgressive segregation correlated with a restructuring of niche, and argue that the negative conclusions of the literature rest disproportionately on hybrids of low adaptive value. We follow the framework's own statement of scope, that the index describes a pattern and not a process, in the same sense as a beta-diversity measure.</w:t>
      </w:r>
    </w:p>
    <w:p>
      <w:pPr/>
      <w:r>
        <w:rPr>
          <w:i w:val="0"/>
        </w:rPr>
        <w:t xml:space="preserve">What is known of hybrid microbiota in fish comes almost entirely from controlled crosses. Reciprocal hybrids of bream and culter, whose parents have contrasting feeding habits, show a strong correspondence between genotype and intestinal characteristics [16]; in intrageneric </w:t>
      </w:r>
      <w:r>
        <w:rPr>
          <w:i/>
        </w:rPr>
        <w:t>Takifugu</w:t>
      </w:r>
      <w:r>
        <w:rPr>
          <w:i w:val="0"/>
        </w:rPr>
        <w:t xml:space="preserve"> hybrids, host hybridisation outweighs cohabitation in shaping the gut microbiota [17]; reciprocal hybrids of koi and goldfish resemble one parent rather than the midpoint of the two [18]; and whitefish species pairs with their reciprocal hybrids have been compared in natural and controlled environments [19]. This body of work has been reviewed recently [20]. Studies of natural hybrid zones in other vertebrates, for their part, do not converge. Host ancestry predominates in </w:t>
      </w:r>
      <w:r>
        <w:rPr>
          <w:i/>
        </w:rPr>
        <w:t>Neotoma</w:t>
      </w:r>
      <w:r>
        <w:rPr>
          <w:i w:val="0"/>
        </w:rPr>
        <w:t xml:space="preserve"> woodrats, where habitat determines diet but genotype determines the gut microbiota [21], and in hybridising brown lemurs along a 180 km transect [22]. The opposite conclusion is reached in baboons spanning a hybrid zone, where site soil properties rather than genetic ancestry, relatedness or between-population genetic distance explain the gut microbiota [23], and in wild house mice, where an apparent effect of admixture becomes weak once spatial autocorrelation is taken into account, on two replicates of the same hybrid zone [24]. In hybridising chickadees moved to a common environment, the change of environment affected microbiota richness but not community composition, while a corresponding effect of ancestry on composition was not statistically supported [25] — a result that argues for reporting alpha and beta diversity separately rather than for a directed expectation on either. Across this literature, no study combines a natural hybrid zone in fish, host ancestry quantified by genotyping rather than assigned by cross class, and several tissue compartments characterised in the same individual.</w:t>
      </w:r>
    </w:p>
    <w:p>
      <w:pPr/>
      <w:r>
        <w:rPr>
          <w:i w:val="0"/>
        </w:rPr>
        <w:t xml:space="preserve">The nase </w:t>
      </w:r>
      <w:r>
        <w:rPr>
          <w:i/>
        </w:rPr>
        <w:t>Chondrostoma nasus</w:t>
      </w:r>
      <w:r>
        <w:rPr>
          <w:i w:val="0"/>
        </w:rPr>
        <w:t xml:space="preserve"> and the South-west European nase, or toxostome, </w:t>
      </w:r>
      <w:r>
        <w:rPr>
          <w:i/>
        </w:rPr>
        <w:t>Parachondrostoma toxostoma</w:t>
      </w:r>
      <w:r>
        <w:rPr>
          <w:i w:val="0"/>
        </w:rPr>
        <w:t xml:space="preserve"> offer that combination. The toxostome is endemic to southern France, where it is declining and is a species of conservation concern; the nase originates from central Europe and entered the Rhône basin following the construction of navigable connections across Europe during the last century [26], so that the two distributions have partially overlapped for about a hundred years. Hybridisation has been detected in the patchily distributed sympatric areas of the basin, with an incidence unrelated to habitat characteristics [27–29] — the configuration of a mosaic hybrid zone [30]. Guivier et al. [31] characterised the microbiota of four tissue compartments of the two species in strict parapatry on a single river, and found the tissue compartment to be the first factor of variation, with a marked contrast between externally and internally exposed tissues and with proportions of species-specific taxa that were asymmetric between compartments: the nase carried many specific taxa on its external tissues, the toxostome in its intestine. On that basis the authors proposed that introgressive hybridisation might affect the microbiota differently depending on the tissue considered, and closed by announcing the exploration of hybrid microbiota rearrangement, which their sample of sixteen fish at two stations could not support. The present study is that exploration, on 180 fish sampled at nine stations over six watercourses of the Rhône drainage in two years, with host ancestry resolved by genotyping across 25 chromosomes rather than by morphology, and with the same four compartments — caudal fin, gill, midgut and hindgut — characterised in each individual.</w:t>
      </w:r>
    </w:p>
    <w:p>
      <w:pPr/>
      <w:r>
        <w:rPr>
          <w:i w:val="0"/>
        </w:rPr>
        <w:t>We ask whether the microbiota of individuals of mixed ancestry is intermediate between the two parental species, dominated by one of them, or displaced outside their range, and whether the answer is the same in all four compartments. Three points of design are stated at the outset rather than introduced with the results. First, because genotyping across 25 chromosomes separates an intermediate genome from a near-parental genome introgressed on one or a few chromosomes — a single one in 17 of the 22 such individuals —, what counts as a hybrid is a decision and not a given: the contrast is therefore run twice, on intermediate genomes alone and on the wider set including introgressed near-parental individuals, with both passes declared in advance, and the displacement of the result between them measures the contribution of the introgressed individuals, a random-removal control separating that contribution from the accompanying change in sample size. Second, the comparison is reported both as a category contrast in a model spanning all stations — the only admissible form given the low heritability expected from Grieneisen et al. [9] — and, as a complementary characterisation, as the four-dimensional index of Camper et al. [14], whose core threshold and taxonomic rank are fixed a priori and whose sensitivity is reported, since on a natural hybrid system these choices move the index more than sample size or sequencing depth do. Third, genotypic category is entangled with the spatial axis in this design, station being by far the strongest correlate of composition, and field processing order propagated to plate position, whose effect on composition is real; results on category are consequently reported bracketed between the two sequential orderings rather than as a single decomposition, without plate position in the principal models and with it as a covariate in a sensitivity analysis, and read as patterns co-varying with station and with category rather than as effects of ancestry alone. Two stations of the same river, 25 km apart and separated by a weir passable only downstream, were sampled in two successive years and provide an internal reference in which the two parental species occupy separate stations of one river: C. nasus with two intermediate hybrids at one (14 individuals), P. toxostoma alone at the other (19). Following Guivier et al. [31], we expect any hybrid signal to be most pronounced in the digestive compartments, where the two parental species diverge most, rather than uniformly across the four tissues.</w:t>
      </w:r>
    </w:p>
    <w:p>
      <w:pPr/>
      <w:r>
        <w:rPr>
          <w:i/>
          <w:color w:val="888888"/>
          <w:sz w:val="18"/>
        </w:rPr>
        <w:t>[Introduction, draft 1 — points à trancher. (i) Titre provisoire inséré : sous-titre du supplément (JF, 2026-10-03) ; titre définitif en fin d'écriture. Cible Animal Microbiome (JF, 2026-10-03) : la structure Background / Methods / Results / Discussion / Conclusions et la section Declarations restent à mettre en place. (ii) Les références Wang et al. (2015) et Sevellec et al. (2014) proviennent de la liste du manuscrit d'origine et n'ont pas été relues en texte intégral : vérifier leur pertinence à l'endroit où elles sont placées. (iii) Deux corrections à propager dans docs/biblio/microbiome_hybrid_all_refs.bib : Small et al. est daté 2018 alors que Crossref donne 2019 pour 10.1128/msystems.00331-19 ; et le corégone y figure comme préprint (10.1101/312231) alors que la version publiée existe — Sevellec et al. 2019, Ecology and Evolution, 10.1002/ece3.5676, qui est la version citée ici. (iv) Les deux passes de définition de l'hybride et le traitement de la position de plaque (D2) sont alignés sur le §1 et le §8.6 (2026-09-25). Les paramètres a priori du 4H sont fixés par la décision D5 du 2026-09-25 : ρ = 0,5 au rang du genre, sensibilité rapportée sur ρ ∈ {0,3 ; 0,5 ; 0,7}, ϑ = ε = 0. Ce qui manque est leur description au §8.6, à écrire en même temps que le calcul 4H. (v) Vérifié sur genotypes_verifies_sept_180.csv, colonne n_chromosomes_introgresses : parmi les 22 quasi-purs, 17 sont introgressés sur un seul chromosome, 4 sur deux et 1 sur six. Le §1 et l'introduction portent désormais ces chiffres.]</w:t>
      </w:r>
      <w:r>
        <w:rPr>
          <w:i/>
          <w:color w:val="888888"/>
          <w:sz w:val="18"/>
        </w:rPr>
        <w:t xml:space="preserve"> [2026-10-03, soir : structure Animal Microbiome en place (Abstract, Background, Methods, Results, Discussion, Conclusions, Declarations, References numérotées, légendes) ; méthodes 4H au §8.11.]</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each fish was euthanised by cervical dislocation and immediately dissected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and under national protocol authorisations n° 2014-156-0001 and n° 2015-1426DDT605.</w:t>
      </w:r>
    </w:p>
    <w:p>
      <w:r>
        <w:rPr>
          <w:i/>
          <w:color w:val="888888"/>
          <w:sz w:val="18"/>
        </w:rPr>
        <w:t>[À confirmer par André — questions de suivi envoyées le 2026-10-03. (1) Autorisations : André confirme les deux numéros et indique une approbation par l'ONEMA et les DDT des Alpes-de-Haute-Provence, des Hautes-Alpes et du Vaucluse ; or les stations du Suran (Ain) et de l'Ardèche (Saint-Just-d'Ardèche, Rosières) sont hors de ces départements. Remplacer « national protocol authorisations » une fois la couverture établie. (2) Euthanasie par dislocation cervicale juste avant la dissection de chaque poisson : non confirmée explicitement. La séquence pêche → vivier → dissection, les durées et l'ordre de traitement viennent d'André (2026-10-03 ; hotus en priorité : 2026-09-25).]</w:t>
      </w:r>
    </w:p>
    <w:p>
      <w:r/>
      <w:r>
        <w:rPr>
          <w:i w:val="0"/>
          <w:color w:val="1F4E79"/>
        </w:rPr>
        <w:t>Stations, rivers, WGS84 coordinates, collection dates, years of sampling, genotypic composition and the number of individuals and libraries per station are given in Supplementary Table S1. Coordinates and collection dates are field records supplied by the collecting team; an earlier version of this dataset carried coordinates extrapolated from commune names, which have been replaced (see the note to Table S1).</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their inter-chromosome discordance is what identifies them. Of the 180 individuals, 175 were genotyped from Q-scores on liver tissue.</w:t>
      </w:r>
      <w:r>
        <w:rPr>
          <w:i w:val="0"/>
          <w:color w:val="1F4E79"/>
        </w:rPr>
        <w:t xml:space="preserve"> Individual genotypes, with the tissue on which each was obtained, are given in Supplementary Table S2.</w:t>
      </w:r>
      <w:r>
        <w:rPr>
          <w:i w:val="0"/>
          <w:color w:val="1F4E79"/>
        </w:rPr>
        <w:t xml:space="preserve"> The remaining five, all assigned to a parental category, were resolved by other routes: three from Q-score fits on midgut and caudal fin, which agreed in assigning them to P. toxostoma, and two from an earlier and closely related method that left no Q-score record, so that no median index and no inter-chromosome discordance are reported for the latter two. The Hy category comprises two genome types: 20 intermediate genomes, and 22 near-parental genomes, introgressed on a single chromosome in 17 cases, on two in four and on six in one. What counts as a hybrid is therefore a decision, and every analysis of category is run twice, both passes being declared in advance: pass 1 retains the 20 intermediate hybrids and excludes the 22 near-parental individuals, which are not reassigned to a parental category (158 individuals); pass 2 retains all 42 (180 individuals). Nine of the 49 individuals previously identified on morphology were reclassified. Three stations carry all three categories — 74 individuals in pass 2 and 65 in pass 1, where Saint-Just-d'Ardèche retains a single hybrid — which is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a lobe of the caudal fin (code 01), the gill (05), the hindgut (03) and the midgut (02), dissected in that order. Each tissue was cut in two and placed in two 1.5 mL tubes: one half was stored in 95% ethanol at −80 °C for microbiota analysis, the other was frozen at −80 °C for transcriptome analyses, including genotyping.</w:t>
      </w:r>
      <w:r>
        <w:rPr>
          <w:b w:val="0"/>
          <w:i w:val="0"/>
        </w:rPr>
        <w:t xml:space="preserve"> Nine tissues were re-extracted independently (flagged ‘bis’) and are treated as technical replicates.</w:t>
      </w:r>
    </w:p>
    <w:p>
      <w:r>
        <w:rPr>
          <w:i/>
          <w:color w:val="888888"/>
          <w:sz w:val="18"/>
        </w:rPr>
        <w:t>[À confirmer par André — question de suivi envoyée le 2026-10-03 : température de conservation du tube en éthanol 95 % destiné au microbiote (−80 °C dans Guivier et al. 2017 ; non précisée dans sa réponse). Tissu 01 = lobe de nageoire caudale, ordre de dissection et partage de chaque tissu en deux tubes : André, 2026-10-03.]</w:t>
      </w:r>
    </w:p>
    <w:p>
      <w:pPr>
        <w:pStyle w:val="Heading1"/>
      </w:pPr>
      <w:r>
        <w:t>3. DNA extraction, 16S library preparation and sequencing</w:t>
      </w:r>
    </w:p>
    <w:p>
      <w:r>
        <w:rPr>
          <w:b w:val="0"/>
          <w:i w:val="0"/>
        </w:rPr>
        <w:t xml:space="preserve">Bacterial DNA was extracted from each tissue with the Qiagen Food Mericon kit (Qiagen, Venlo, Netherlands), following a slightly modified protocol detailed in </w:t>
      </w:r>
      <w:r>
        <w:rPr>
          <w:b w:val="0"/>
          <w:i w:val="0"/>
          <w:color w:val="1F4E79"/>
        </w:rPr>
        <w:t>Guivier et al. [31]</w:t>
      </w:r>
      <w:r>
        <w:rPr>
          <w:b w:val="0"/>
          <w:i w:val="0"/>
        </w:rPr>
        <w:t>. A 251 bp fragment of the V4 region of the bacterial 16S rRNA gene was amplified using the dual-index method of Kozich et al. [32], with forward and reverse primers carrying an 8 bp index and Illumina adapters (Caporaso primers 515F GTGCCAGCMGCCGCGGTAA / 806R GGACTACHVGGGTWTCTAAT). DNA amplification, purification and pooling of PCR products followed Galan et al. [33]. The final library was quantified with the Kapa quantification kit (Kapa Biosystems) and loaded on an Illumina MiSeq flow cell with reagent kit v3 (600 cycles), run as 2 × 251 bp paired-end reads with two 8 bp index reads (518 of the 600 cycles).</w:t>
      </w:r>
    </w:p>
    <w:p>
      <w:r>
        <w:rPr>
          <w:b w:val="0"/>
          <w:i w:val="0"/>
        </w:rPr>
        <w:t>For the present study the 768 samples were processed through two independent library preparations, each using the one-step dual-index PCR of Kozich et al. [32],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val="0"/>
          <w:color w:val="1F4E79"/>
        </w:rPr>
        <w:t>Libraries were sequenced on an Illumina MiSeq on 10 July 2017 (durance1), 5 October 2017 (durance2) and 3 November 2017 (durance3), with a 10 % PhiX spike-in. PCR conditions, purification and pooling followed Galan et al. [33].</w:t>
      </w:r>
      <w:r>
        <w:t xml:space="preserve"> Run labels, flow cells, dates and the mapping of runs to library preparations are given in Supplementary Table S5.</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S3.</w:t>
      </w:r>
    </w:p>
    <w:p>
      <w:pPr>
        <w:pStyle w:val="Heading1"/>
      </w:pPr>
      <w:r>
        <w:t>5. Sequence processing overview</w:t>
      </w:r>
    </w:p>
    <w:p>
      <w:r>
        <w:rPr>
          <w:b w:val="0"/>
          <w:i w:val="0"/>
        </w:rPr>
        <w:t xml:space="preserve">Reads were processed with a custom, version-controlled pipeline (git-tracked; each parameter justified in the script headers). The three runs were processed separately through denoising and merged thereafter. Software versions: </w:t>
      </w:r>
      <w:r>
        <w:rPr>
          <w:b w:val="0"/>
          <w:i w:val="0"/>
          <w:color w:val="1F4E79"/>
        </w:rPr>
        <w:t>cutadapt 5.0 [34];</w:t>
      </w:r>
      <w:r>
        <w:rPr>
          <w:b w:val="0"/>
          <w:i w:val="0"/>
        </w:rPr>
        <w:t xml:space="preserve"> R 4.5.3 with </w:t>
      </w:r>
      <w:r>
        <w:rPr>
          <w:b w:val="0"/>
          <w:i w:val="0"/>
          <w:color w:val="1F4E79"/>
        </w:rPr>
        <w:t>DADA2 1.38.0 [35];</w:t>
      </w:r>
      <w:r>
        <w:rPr>
          <w:b w:val="0"/>
          <w:i w:val="0"/>
        </w:rPr>
        <w:t xml:space="preserve"> </w:t>
      </w:r>
      <w:r>
        <w:rPr>
          <w:b w:val="0"/>
          <w:i w:val="0"/>
          <w:color w:val="1F4E79"/>
        </w:rPr>
        <w:t>SILVA reference v138.2 [36]</w:t>
      </w:r>
      <w:r>
        <w:rPr>
          <w:b w:val="0"/>
          <w:i w:val="0"/>
        </w:rPr>
        <w:t xml:space="preserve">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[37]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removed 2.13 % of reads in total, 1.89 points more than the retained threshold,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 xml:space="preserve">A de novo phylogeny was built from the ASV sequences with </w:t>
      </w:r>
      <w:r>
        <w:rPr>
          <w:b w:val="0"/>
          <w:i w:val="0"/>
          <w:color w:val="1F4E79"/>
        </w:rPr>
        <w:t>QIIME 2 [38]</w:t>
      </w:r>
      <w:r>
        <w:rPr>
          <w:b w:val="0"/>
          <w:i w:val="0"/>
        </w:rPr>
        <w:t xml:space="preserve"> (align-to-tree-mafft-fasttree): multiple alignment with </w:t>
      </w:r>
      <w:r>
        <w:rPr>
          <w:b w:val="0"/>
          <w:i w:val="0"/>
          <w:color w:val="1F4E79"/>
        </w:rPr>
        <w:t>MAFFT [39],</w:t>
      </w:r>
      <w:r>
        <w:rPr>
          <w:b w:val="0"/>
          <w:i w:val="0"/>
        </w:rPr>
        <w:t xml:space="preserve"> masking of highly variable positions, tree inference with </w:t>
      </w:r>
      <w:r>
        <w:rPr>
          <w:b w:val="0"/>
          <w:i w:val="0"/>
          <w:color w:val="1F4E79"/>
        </w:rPr>
        <w:t>FastTree 2 [40],</w:t>
      </w:r>
      <w:r>
        <w:rPr>
          <w:b w:val="0"/>
          <w:i w:val="0"/>
        </w:rPr>
        <w:t xml:space="preserve"> and midpoint rooting. Fragment insertion into a reference backbone (SEPP) was not used because the ASVs are near-complete V4 amplicons (~251 bp) for which de novo alignment is appropriate. The resulting rooted tree covers all ASVs of the analysis table and supports </w:t>
      </w:r>
      <w:r>
        <w:rPr>
          <w:b w:val="0"/>
          <w:i w:val="0"/>
          <w:color w:val="1F4E79"/>
        </w:rPr>
        <w:t>UniFrac distances [41] and Faith's phylogenetic diversity [42]</w:t>
      </w:r>
      <w:r>
        <w:rPr>
          <w:b w:val="0"/>
          <w:i w:val="0"/>
        </w:rPr>
        <w:t>.</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[43].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[44].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 xml:space="preserve">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w:t>
      </w:r>
      <w:r>
        <w:rPr>
          <w:i w:val="0"/>
          <w:color w:val="1F4E79"/>
        </w:rPr>
        <w:t>Results</w:t>
      </w:r>
      <w:r>
        <w:rPr>
          <w:i w:val="0"/>
        </w:rPr>
        <w:t>,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w:t>
      </w:r>
      <w:r>
        <w:rPr>
          <w:i w:val="0"/>
          <w:color w:val="1F4E79"/>
        </w:rPr>
        <w:t>Results</w:t>
      </w:r>
      <w:r>
        <w:rPr>
          <w:i w:val="0"/>
        </w:rPr>
        <w:t>).</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50 % of intermediate hybrids passed the threshold against 86 % of P. toxostoma (pass 1), and 67 % of all 42 hybrids (pass 2), a gap of 36 and 20 points respectively, reaching 48 and 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since they cannot be tested at 500 and the midgut gap (14.0 and 8.9 points) persists there in any case. Supplementary Table S8 and Figure S2.</w:t>
      </w:r>
      <w:r>
        <w:rPr>
          <w:color w:val="1F4E79"/>
        </w:rPr>
      </w:r>
    </w:p>
    <w:p>
      <w:pPr>
        <w:pStyle w:val="Heading2"/>
      </w:pPr>
      <w:r>
        <w:rPr>
          <w:color w:val="1F4E79"/>
        </w:rPr>
        <w:t>8.7 Statistical framework</w:t>
      </w:r>
    </w:p>
    <w:p>
      <w:pPr/>
      <w:r>
        <w:rPr>
          <w:i/>
          <w:color w:val="888888"/>
          <w:sz w:val="18"/>
        </w:rPr>
      </w:r>
      <w:r>
        <w:rPr>
          <w:b w:val="0"/>
          <w:i w:val="0"/>
          <w:color w:val="1F4E79"/>
        </w:rPr>
        <w:t xml:space="preserve">Community composition is analysed </w:t>
      </w:r>
      <w:r>
        <w:rPr>
          <w:b w:val="0"/>
          <w:i w:val="0"/>
          <w:color w:val="1F4E79"/>
        </w:rPr>
        <w:t>by PERMANOVA [45] on</w:t>
      </w:r>
      <w:r>
        <w:rPr>
          <w:b w:val="0"/>
          <w:i w:val="0"/>
          <w:color w:val="1F4E79"/>
        </w:rPr>
        <w:t xml:space="preserve">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w:t>
      </w:r>
      <w:r>
        <w:rPr>
          <w:b w:val="0"/>
          <w:i w:val="0"/>
          <w:color w:val="1F4E79"/>
        </w:rPr>
        <w:t>§8.8</w:t>
      </w:r>
      <w:r>
        <w:rPr>
          <w:b w:val="0"/>
          <w:i w:val="0"/>
          <w:color w:val="1F4E79"/>
        </w:rPr>
        <w:t>). Every analysis of genotypic category is run in the two passes defined in §1. Plate column is not entered in the principal models, which report patterns co-varying with station and category without separating them; because its effect on composition is real (</w:t>
      </w:r>
      <w:r>
        <w:rPr>
          <w:b w:val="0"/>
          <w:i w:val="0"/>
          <w:color w:val="1F4E79"/>
        </w:rPr>
        <w:t>§8.9; Results</w:t>
      </w:r>
      <w:r>
        <w:rPr>
          <w:b w:val="0"/>
          <w:i w:val="0"/>
          <w:color w:val="1F4E79"/>
        </w:rPr>
        <w:t>), every model testing category is also fitted with plate column as a covariate and reported as a sensitivity analysis. Because genotypic category, station and plate position are mutually entangled (</w:t>
      </w:r>
      <w:r>
        <w:rPr>
          <w:b w:val="0"/>
          <w:i w:val="0"/>
          <w:color w:val="1F4E79"/>
        </w:rPr>
        <w:t>Results</w:t>
      </w:r>
      <w:r>
        <w:rPr>
          <w:b w:val="0"/>
          <w:i w:val="0"/>
          <w:color w:val="1F4E79"/>
        </w:rPr>
        <w:t xml:space="preserve">),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t>
      </w:r>
      <w:r>
        <w:rPr>
          <w:b w:val="0"/>
          <w:i w:val="0"/>
          <w:color w:val="1F4E79"/>
        </w:rPr>
        <w:t>with PERMDISP [46],</w:t>
      </w:r>
      <w:r>
        <w:rPr>
          <w:b w:val="0"/>
          <w:i w:val="0"/>
          <w:color w:val="1F4E79"/>
        </w:rPr>
        <w:t xml:space="preserve"> since the transgressive hypothesis concerns the variability of hybrid microbiota and not only the position of its centroid, and since PERMANOVA is itself sensitive to heterogeneous dispersion. </w:t>
      </w:r>
      <w:r>
        <w:rPr>
          <w:b w:val="0"/>
          <w:i w:val="0"/>
          <w:color w:val="1F4E79"/>
        </w:rPr>
        <w:t>Every claim is reported per metric and per tissue. Four dissimilarities are carried throughout — Bray–Curtis, Jaccard, unweighted and weighted UniFrac — together with four alpha indices: observed richness, Shannon, inverse Simpson and Faith's phylogenetic diversity. Because resequencing one library recovers only 48 % of the ASVs present at 1–3 reads (</w:t>
      </w:r>
      <w:r>
        <w:rPr>
          <w:b w:val="0"/>
          <w:i w:val="0"/>
          <w:color w:val="1F4E79"/>
        </w:rPr>
        <w:t>Results</w:t>
      </w:r>
      <w:r>
        <w:rPr>
          <w:b w:val="0"/>
          <w:i w:val="0"/>
          <w:color w:val="1F4E79"/>
        </w:rPr>
        <w:t>), presence-based metrics are not treated as sufficient on their own: a result is stated as established only where at least one abundance-weighted and one presence-based metric support it, and is otherwise reported as metric-dependent with the supporting metrics named. Figures quoted in running text use Shannon for alpha diversity and Bray–Curtis for composition, both abundance-weighted, with the remaining metrics reported alongside rather than relegated. Weighting is not the operative axis for composition: Bray–Curtis, though abundance-weighted, patterns with the two presence-based dissimilarities on both category and dispersion, whereas weighted UniFrac stands apart, so the rule is applied metric by metric rather than by weighting class. The choice of a differential-abundance method remains to be fixed.</w:t>
      </w:r>
      <w:r>
        <w:rPr>
          <w:color w:val="1F4E79"/>
        </w:rPr>
        <w:t xml:space="preserve"> PERMANOVA (adonis2) and PERMDISP (betadisper) were run with vegan 2.7-5 [47].</w:t>
      </w:r>
      <w:r>
        <w:rPr>
          <w:color w:val="1F4E79"/>
        </w:rPr>
        <w:t xml:space="preserve"> Distances to group medians in PERMDISP were corrected for small-sample bias (bias.adjust = TRUE [48]), hybrids being the smallest category in every stratum.</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rarefied indices (observed richness, Shannon, inverse Simpson and Faith's phylogenetic diversity), analysed on the log scale, every analysis being run on the four indices. First, the contrasts between external (caudal fin, gill) and internal (midgut, hindgut) compartments, and between midgut and hindgut, were tested within individual by a paired t-test on log values, with the Wilcoxon signed-rank test reported alongside, and expressed as ratios of geometric means with 95 % confidence intervals. Second, the variance of log alpha diversity over the 1,784 rarefied samples was partitioned by a linear model with tissue, site-year, individual, library preparation and sequencing run; sequential and marginal shares of the sum of squares are reported, nested terms having no marginal share of their own. Third, the effect of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and as transgressive when their estimate lay beyond the parental range with an interval excluding the nearer parent. When no criterion or more than one was met, the class is reported as undetermined. This rule, and the three tests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separately.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ASV counts were aggregated to genus; 48.6 % of ASVs, carrying 64.1 % of reads, were assigned to a genus (family: 77.9 % and 90.6 %), and unassigned ASVs were excluded. Because the package rarefies the aggregated table, samples were required to carry at least 1,000 genus-assigned reads (1,749 of the 1,784 rarefied samples) and were rarefied to that depth at each of 500 bootstraps; on the published natural hybrid system the parental axis varies by at most 0.067 between 1,000 and 10,000 reads [14]. Each bootstrap drew without replacement the same number of hosts N from each class, N being one less than the smallest class of pass 1 in the stratum (9 in the caudal fin, 10–19 elsewhere), and the same N was applied to pass 2 so that the two passes are compared on equal footing; pass 2 was also computed at its own N. An abundance-based version of the index (inspired by Bray–Curtis), the pre-analysis of core fractions, the null plane and a null hybrid model averaging one randomly drawn individual of each parental species were computed with the same settings. The index is reported along its parental (Union + Intersection) and transgressive (Gain + Loss) axes. An axis was called dominant when it exceeded 0.5 in all three runs, and robust when the same axis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 Following the framework's own statement of scope, the index is read as a pattern of taxon membership, not as evidence of an assembly process.</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r>
      <w:r>
        <w:t>Dispersion was tested with PERMDISP on the same matrices, both with permutations constrained within station blocks and separately within each station carrying all three categories, where a dispersion difference cannot be spatial. The transgressive prediction in its dispersion form — hybrids more variable than both parental categories — is not supported and the data point the other way. Across the 48 station-blocked tests, hybrids are the least dispersed of the three categories in 32 (pass 1) and 34 (pass 2) and the most dispersed in 7 and 8, against the third expected by chance under no ordering (binomial p = 2.4 × 10-6 and 1.2 × 10-7). Within stations the pattern holds in pass 1 (45 of 68, p = 3.2 × 10-8); in pass 2 it is not significant over all 120 tests (41, p = 0.46), because the strata of Saint-Just-d'Ardèche, testable only in pass 2, and those of the Canal point the other way, but it holds on the 68 tests common to both passes (31 of 68, p = 0.024). Significant tests in the transgressive direction number 1 (pass 1) and 0 (pass 2) among station-blocked tests, and 0 and 5 within stations; the five of pass 2 all concern the gill at Saint-Just-d'Ardèche, where each stratum holds three or four P. toxostoma. Where dispersion does differ significantly it is mostly a parental category that is most variable: P. toxostoma in the caudal fin in pass 1; P. toxostoma or C. nasus in the midgut, and P. toxostoma in the hindgut and caudal fin, in pass 2. The effect is small: the median hybrid distance to group centre lies below the parental mean on Bray-Curtis (-0.029 and -0.065), unweighted UniFrac (-0.026 and -0.016) and Jaccard (-0.015 and -0.009); on weighted UniFrac it is null in pass 1 (+0.0002) and slightly below in pass 2 (-0.005). The less-dispersed pattern is therefore carried by the three metrics sensitive to rare taxa.</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t xml:space="preserve">This bears directly on how the location results must be read, because PERMANOVA is sensitive to heterogeneous dispersion. In the caudal fin, dispersion is heterogeneous on Jaccard in all three runs in both passes, and on Bray-Curtis and unweighted UniFrac in all three runs in pass 1, so the location signals on those metrics cannot be separated from a dispersion effect. On weighted UniFrac dispersion is homogeneous in all three runs in both passes, and remains so within station. In pass 1, where the caudal-fin category effect on weighted UniFrac is significant in all three runs and both permutation schemes, that control could have failed and did not: the result is a difference in composition, not in variability. In pass 2 there is no location effect to interpret. One reservation is not resolved here: betadisper accepts no covariate, so the plate-position effect of </w:t>
      </w:r>
      <w:r>
        <w:rPr>
          <w:b w:val="0"/>
          <w:i w:val="0"/>
          <w:color w:val="1F4E79"/>
        </w:rPr>
        <w:t>§8.9</w:t>
      </w:r>
      <w:r>
        <w:rPr>
          <w:b w:val="0"/>
          <w:i w:val="0"/>
          <w:color w:val="1F4E79"/>
        </w:rPr>
        <w:t xml:space="preserve"> is not adjusted for, and a category whose samples are more spread across plate columns could carry inflated dispersion. Supplementary Table S10 and Figure S3.</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i w:val="0"/>
        </w:rPr>
        <w:t xml:space="preserve">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w:t>
      </w:r>
      <w:r>
        <w:rPr>
          <w:i w:val="0"/>
          <w:color w:val="1F4E79"/>
        </w:rPr>
        <w:t>§8.8</w:t>
      </w:r>
      <w:r>
        <w:rPr>
          <w:i w:val="0"/>
        </w:rPr>
        <w:t xml:space="preserve">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S4.</w:t>
      </w:r>
    </w:p>
    <w:p>
      <w:r>
        <w:rPr>
          <w:i w:val="0"/>
        </w:rPr>
      </w:r>
      <w:r>
        <w:rPr>
          <w:b w:val="0"/>
          <w:i w:val="0"/>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Neither correction altered a sample accession, an alias or a sequence file.</w:t>
      </w:r>
    </w:p>
    <w:p>
      <w:pPr/>
      <w:r>
        <w:rPr>
          <w:i w:val="0"/>
        </w:rPr>
        <w:t>Metadata completeness. Sampling-site coordinates and environmental context terms were obtained from the field records and are reported per site in Supplementary Table S1.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0.720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S5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S7 and Figure S1.</w:t>
      </w:r>
      <w:r>
        <w:rPr>
          <w:color w:val="1F4E79"/>
        </w:rPr>
      </w:r>
    </w:p>
    <w:p>
      <w:pPr/>
      <w:r/>
      <w:r>
        <w:rPr>
          <w:b w:val="0"/>
          <w:i w:val="0"/>
        </w:rPr>
      </w:r>
      <w:r>
        <w:rPr>
          <w:b w:val="0"/>
          <w:i w:val="0"/>
          <w:color w:val="1F4E79"/>
        </w:rPr>
      </w:r>
      <w:r>
        <w:rPr>
          <w:b w:val="0"/>
          <w:i w:val="0"/>
          <w:color w:val="1F4E79"/>
        </w:rPr>
      </w:r>
      <w:r>
        <w:rPr>
          <w:b w:val="0"/>
          <w:i w:val="0"/>
          <w:color w:val="1F4E79"/>
        </w:rPr>
        <w:t>Three witnesses separate this effect from the biology it could be mistaken for. Within a single genotypic category, where a column effect cannot be a category effect, it persists but more weakly: among P. toxostoma alone in 17 of 24 strata in both passes (ratio 1.65), among C. nasus alone in 6 (pass 1) and 7 (pass 2) of 24 (ratio 1.63); hybrids alone are too few to be tested (two strata in pass 2, none in pass 1). No site code carries a single genotypic category, and the only single-category station (Chavannes-sur-Suran, 19 P. toxostoma) is too small for a separate witness; the within-category subsets therefore replace the single-category-station witness of an earlier analysis, which rested on fish left unresolved by morphology. In the symmetric ordering with category fitted first, column still contributes (21 and 22 of 24 strata). And the classic plate artefacts are absent: plate row is significant in 7 and 6 of 24 strata and plate edge in none, making the effect specific to column, as expected of an effect tracking processing order rather than evaporation or thermal gradients. The origin of the association between category and column is documented above, but the mechanism of the column effect itself is not identified: extraction order, reagent-batch drift within a plate, cross-contamination between adjacent wells and the delay between capture and dissection are not separated by these data, and no negative control isolates any of them. Plate column is therefore not entered in the principal models (</w:t>
      </w:r>
      <w:r>
        <w:rPr>
          <w:b w:val="0"/>
          <w:i w:val="0"/>
          <w:color w:val="1F4E79"/>
        </w:rPr>
        <w:t>§8.7</w:t>
      </w:r>
      <w:r>
        <w:rPr>
          <w:b w:val="0"/>
          <w:i w:val="0"/>
          <w:color w:val="1F4E79"/>
        </w:rPr>
        <w:t xml:space="preserve">), but every model testing category is also reported with plate column as a covariate, and the two versions are </w:t>
      </w:r>
      <w:r>
        <w:rPr>
          <w:b w:val="0"/>
          <w:i w:val="0"/>
          <w:color w:val="1F4E79"/>
        </w:rPr>
        <w:t>compared below</w:t>
      </w:r>
      <w:r>
        <w:rPr>
          <w:b w:val="0"/>
          <w:i w:val="0"/>
          <w:color w:val="1F4E79"/>
        </w:rPr>
        <w:t>.</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p>
    <w:p>
      <w:pPr/>
      <w:r>
        <w:rPr>
          <w:i/>
          <w:color w:val="888888"/>
          <w:sz w:val="18"/>
        </w:rPr>
        <w:t>[À reformuler après l'arbitrage D2 de JF : « the delay between capture and dissection » ne correspond plus au protocole. Les poissons sont gardés vivants en vivier jusqu'à la dissection, 4–6 min par poisson (André, 2026-10-03) ; le confondant est la durée de séjour en vivier, c'est-à-dire l'ordre de traitement. Dans chaque campagne, la colonne suit cet ordre, et le test du 2026-10-03 ne peut pas séparer les deux (RESULTATS R32, docs/recalcul/note_tests_2026-10-03.md).]</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i/>
          <w:color w:val="888888"/>
          <w:sz w:val="18"/>
        </w:rPr>
        <w:t xml:space="preserve"> [Non testé : C. nasus étant en général traité en premier (§1), le classement « dominant Cn » pourrait refléter l'ordre de traitement (RESULTATS R31). Le contraste femelles/mâles (R27) n'est pas rapporté tant que le code de sexe « X » n'est pas confirmé.]</w:t>
      </w:r>
    </w:p>
    <w:p>
      <w:pPr>
        <w:pStyle w:val="Heading1"/>
      </w:pPr>
      <w:r>
        <w:rPr>
          <w:color w:val="1F4E79"/>
        </w:rPr>
        <w:t>Composition by genotypic category</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 xml:space="preserve">A preliminary variance partition was run to size these terms before the ecological analysis, not as a result of it, in both passes and on the four metrics. Fitted in both orderings without plate position, genotypic category accounts for a median of 1.7 % to 2.8 % of compositional variance across the 48 metric × tissue × run strata in pass 1 and 1.4 % to 3.0 % in pass 2, against a median of 19 % and 18 % for station (range across strata 14–36 % in pass 1 and 14–35 % in pass 2). No tissue is detected by all four metrics in all three runs under both permutation schemes, in either pass, with or without plate position, so a global statement that hybrids differ is not supportable: the analysis must say which metric supports which claim, in which tissue, and under which definition of a hybrid.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A witness attributes this displacement to the definition of hybrids rather than to sample size: removing 22 randomly chosen individuals from the 158 that are not introgressed, twenty times, never restored the caudal signal in pass 2. At 500 reads the caudal signal is partial in pass 1 (three runs sequentially, p = 0.022–0.049; one of three with station fixed by blocks) and absent in pass 2, </w:t>
      </w:r>
      <w:r>
        <w:rPr>
          <w:i w:val="0"/>
          <w:color w:val="1F4E79"/>
        </w:rPr>
        <w:t>an attenuation that is not an effect of depth: restricted to the samples retained at 3,000 reads, the 500-read matrices give the same result as at 3,000 reads (all three runs, both station-blocked schemes, p = 0.010–0.026), so the signal is diluted by the caudal-fin samples that pass the threshold only at 500 reads. As at 3,000 reads, none of twenty random removals of 22 non-introgressed individuals from pass 2 reproduced the pass-1 pattern at 500 reads.</w:t>
      </w:r>
      <w:r>
        <w:rPr>
          <w:i w:val="0"/>
        </w:rPr>
        <w:t xml:space="preserve"> The hindgut is the weakest tissue in pass 1 (only Jaccard is significant, in one run of three with station fixed by blocks) but not in pass 2, where with station fixed by blocks all four metrics detect it in all three runs;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Of the two witnesses that could have discriminated further, the separable sub-design detects category in 3 of 48 tests in pass 1 and 1 of 48 in pass 2 (with plate position), and Rosières, in pass 2, detects it in the gill on Jaccard and unweighted UniFrac in all three runs (p = 0.010–0.030); in pass 1 Rosières is not interpretable. Supplementary Table S9.</w:t>
      </w:r>
    </w:p>
    <w:p>
      <w:pPr/>
      <w:r>
        <w:rPr>
          <w:color w:val="1F4E79"/>
        </w:rPr>
        <w:t>Figure 3 summarises these detections in the principal model with permutations constrained within station blocks (Fig. 3a, b), and the variance shares on which they rest (Fig. 3c). Fitted before category, station accounted for a median of 20.9 % (pass 1) and 20.1 % (pass 2) of compositional variance; category accounted for 2.8 % and 3.0 % when fitted first and 1.7 % and 1.4 % when fitted last. 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[Le paragraphe précédent vient des Methods (ancien §8.9) : « not as a result of it » est à reformuler maintenant qu'il figure en Results. Les médianes de station de ce paragraphe (19 % et 18 %) sont celles de la station servie après la catégorie ; 20,9 % et 20,1 % ci-dessus, station servie en premier.]</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This bears on how the location results are read, because PERMANOVA is sensitive to heterogeneous dispersion. With station fixed by blocks, dispersion in the caudal fin was homogeneous on all four metrics in pass 2 and in all but one test in pass 1 (weighted UniFrac, one run of three, p = 0.048, hybrids most dispersed):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detected on those metrics in those compartments cannot be separated from a dispersion effect. One reservation is not resolved: betadisper accepts no covariate, so the plate-position effect (§8.9) is not adjusted for, and a category whose samples are more spread across plate columns could carry inflated dispersion. Supplementary Table S10 and Figure S3.</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S10 et Figure S3 du supplément régénérées avec les valeurs corrigées le 2026-10-05 (scripts/41-supp_S10_S3.py).]</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Hybrids were transgressive in none of 32 alpha-diversity tests, </w:t>
      </w:r>
      <w:r>
        <w:rPr>
          <w:color w:val="1F4E79"/>
        </w:rPr>
        <w:t>were more dispersed than both parents no more often than expected by chance,</w:t>
      </w:r>
      <w:r>
        <w:rPr>
          <w:color w:val="1F4E79"/>
        </w:rPr>
        <w:t xml:space="preserve"> and no transgressive reading of the 4H index survived the robustness rule declared before computation.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and that its detection required separating the spatial and technical axes beforehand, as in stickleback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The rule adopted here, which states a result as established only when an abundance-weighted and a presence-based metric both support it, makes this dependence explicit rather than resolving it; it also explains why the 4H index, a presence-based construct in its principal form, departed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twenty random removals of 22 non-introgressed fish never reproduced the displacement, so that it is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reporting both passes shows how much of any conclusion rests on that decision, and we suggest that studies of natural hybrid zones report it in the same way.</w:t>
      </w:r>
    </w:p>
    <w:p>
      <w:pPr/>
      <w:r>
        <w:rPr>
          <w:color w:val="1F4E79"/>
        </w:rPr>
        <w:t>That hybrids were not more dispersed than their parents runs against the expectation that the microbiota of hybrids is more variable because their genomes combine parental elements in variable proportions. The opposite tendency, hybrids less dispersed than both parents, was clear only in pass 2 with station fixed by blocks, absent within stations and carried mainly by Bray–Curtis, and should not be read as a general property of hybrids here. The dispersion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that the location and dispersion analyses do not. First, in its abundance-based version — the form in which the framework's authors compared published systems [14]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on a hybrid lizard, transgression has been associated with ecological success rather than with dysbiosis [15], so the absence of transgression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and not as an independent test of the intermediate, dominant and transgressive hypotheses.</w:t>
      </w:r>
    </w:p>
    <w:p>
      <w:pPr/>
      <w:r>
        <w:rPr>
          <w:color w:val="1F4E79"/>
        </w:rPr>
        <w:t xml:space="preserve">Four limits bound these conclusions. Genotypic category is confounded with station, and the three stations that carry all three categories hold 65–74 individuals, so that every category effect is estimated mostly between stations and is read as a pattern co-varying with station and category. Plate position affected composition and followed processing order in every campaign; the mechanism — extraction order, reagent drift within a plate, cross-contamination between adjacent wells or time spent in the holding tank — is not identified, and because </w:t>
      </w:r>
      <w:r>
        <w:rPr>
          <w:i/>
          <w:color w:val="1F4E79"/>
        </w:rPr>
        <w:t>C. nasus</w:t>
      </w:r>
      <w:r>
        <w:rPr>
          <w:color w:val="1F4E79"/>
        </w:rPr>
        <w:t xml:space="preserve"> was generally processed first it could contribute to the dominance of </w:t>
      </w:r>
      <w:r>
        <w:rPr>
          <w:i/>
          <w:color w:val="1F4E79"/>
        </w:rPr>
        <w:t>C. nasus</w:t>
      </w:r>
      <w:r>
        <w:rPr>
          <w:color w:val="1F4E79"/>
        </w:rPr>
        <w:t xml:space="preserve"> in caudal-fin alpha diversity, which was not tested. Rarefaction to 3,000 reads retained intermediate hybrids less often than </w:t>
      </w:r>
      <w:r>
        <w:rPr>
          <w:i/>
          <w:color w:val="1F4E79"/>
        </w:rPr>
        <w:t>P. toxostoma</w:t>
      </w:r>
      <w:r>
        <w:rPr>
          <w:color w:val="1F4E79"/>
        </w:rPr>
        <w:t xml:space="preserve"> in the caudal fin, a selection that is declared but cannot be removed for presence-based metrics.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t>Fish were captured by electrofishing and euthanised before dissection under authorisations n° 2014-156-0001 and n° 2015-1426DDT605, following international guidelines of animal care.</w:t>
      </w:r>
      <w:r>
        <w:rPr>
          <w:i/>
          <w:color w:val="888888"/>
          <w:sz w:val="18"/>
        </w:rPr>
        <w:t xml:space="preserve"> [À compléter (questions de suivi à André, 2026-10-03) : autorités de délivrance — ONEMA et DDT 04, 05 et 84 selon André — et couverture des stations de l'Ain et de l'Ardèche ; méthode d'euthanasie (dislocation cervicale, non confirmée).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S2.</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This work was funded by Électricité de France (EDF) through an EDF–CNRS doctoral contract (AGDI 428481) financing the thesis of Arnaud Ungaro, the contract that also funded Guivier et al. [31] within the FACIES project, with the support of the Fédération de l'Ain pour la pêche et la protection des milieux aquatiques.</w:t>
      </w:r>
    </w:p>
    <w:p>
      <w:pPr/>
      <w:r>
        <w:rPr>
          <w:i/>
          <w:color w:val="888888"/>
          <w:sz w:val="18"/>
        </w:rPr>
        <w:t>[Financement : référence du contrat « EDF-CNRS AGDI 428481 » (André, 2026-10-03). Le rattachement de ce contrat de thèse au projet FACIES de Guivier et al. (2017) combine deux réponses d'André (2026-09-30 et 2026-10-03) et n'est pas confirmé explicitement — à vérifier. Section Acknowledgements : à rédiger en fin de manuscrit (André, 2026-10-03).]</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color w:val="888888"/>
          <w:sz w:val="18"/>
        </w:rPr>
        <w:t>[À rédiger en fin de manuscrit (André, 2026-10-03).]</w:t>
      </w:r>
    </w:p>
    <w:p>
      <w:pPr>
        <w:pStyle w:val="Title"/>
      </w:pPr>
      <w:r>
        <w:rPr>
          <w:color w:val="1F4E79"/>
        </w:rPr>
        <w:t>References</w:t>
      </w:r>
    </w:p>
    <w:p>
      <w:pPr/>
      <w:r>
        <w:rPr>
          <w:color w:val="1F4E79"/>
        </w:rPr>
        <w:t>1. Bordenstein SR, Theis KR. Host Biology in Light of the Microbiome: Ten Principles of Holobionts and Hologenomes. PLOS Biology. 2015;13:e1002226. https://doi.org/10.1371/journal.pbio.1002226.</w:t>
      </w:r>
    </w:p>
    <w:p>
      <w:pPr/>
      <w:r>
        <w:rPr>
          <w:color w:val="1F4E79"/>
        </w:rPr>
        <w:t>2. Shapira M. Gut Microbiotas and Host Evolution: Scaling Up Symbiosis. Trends in Ecology &amp; Evolution.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Current Opinion in Microbiology. 2017;35:23–29. https://doi.org/10.1016/j.mib.2016.11.002.</w:t>
      </w:r>
    </w:p>
    <w:p>
      <w:pPr/>
      <w:r>
        <w:rPr>
          <w:color w:val="1F4E79"/>
        </w:rPr>
        <w:t>5. Llewellyn MS, Boutin S, Hoseinifar SH, Derome N. Teleost microbiomes: the state of the art in their characterization, manipulation and importance in aquaculture and fisheries. Frontiers in Microbiology.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Journal of Evolutionary Biology. 2014;27:1029–1046. https://doi.org/10.1111/jeb.12374.</w:t>
      </w:r>
    </w:p>
    <w:p>
      <w:pPr/>
      <w:r>
        <w:rPr>
          <w:color w:val="1F4E79"/>
        </w:rPr>
        <w:t>7. Smith CCR, Snowberg LK, Caporaso JG, Knight R, Bolnick DI. Dietary input of microbes and host genetic variation shape among-population differences in stickleback gut microbiota. The ISME Journal.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Nature Communications. 2015;6:6440. https://doi.org/10.1038/ncomms7440.</w:t>
      </w:r>
    </w:p>
    <w:p>
      <w:pPr/>
      <w:r>
        <w:rPr>
          <w:color w:val="1F4E79"/>
        </w:rPr>
        <w:t>12. Pfennig KS, Kelly AL, Pierce AA. Hybridization as a facilitator of species range expansion. Proceedings of the Royal Society B: Biological Sciences.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in Ecology and Evolution.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Frontiers in Microbiology.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Journal of Applied Microbiology. 2022;133:960–971. https://doi.org/10.1111/jam.15616.</w:t>
      </w:r>
    </w:p>
    <w:p>
      <w:pPr/>
      <w:r>
        <w:rPr>
          <w:color w:val="1F4E79"/>
        </w:rPr>
        <w:t>19. Sevellec M, Laporte M, Bernatchez A, Derome N, Bernatchez L. Evidence for host effect on the intestinal microbiota of whitefish (Coregonus sp.) species pairs and their hybrids. Ecology and Evolution.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Ecology Letters.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Proceedings of the Royal Society B: Biological Sciences.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Molecular Ecology.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Biological Journal of the Linnean Society.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Frontiers in Zoology.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Molecular Ecology. 2008;17:30–44. https://doi.org/10.1111/j.1365-294x.2007.03529.x.</w:t>
      </w:r>
    </w:p>
    <w:p>
      <w:pPr/>
      <w:r>
        <w:rPr>
          <w:color w:val="1F4E79"/>
        </w:rPr>
        <w:t>31. Guivier E, Martin J-F, Pech N, Ungaro A, Chappaz R, Gilles A. Microbiota Diversity Within and Between the Tissues of Two Wild Interbreeding Species. Microbial Ecology.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Applied and Environmental Microbiology.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EMBnet.journal. 2011;17:10. https://doi.org/10.14806/ej.17.1.200.</w:t>
      </w:r>
    </w:p>
    <w:p>
      <w:pPr/>
      <w:r>
        <w:rPr>
          <w:color w:val="1F4E79"/>
        </w:rPr>
        <w:t>35. Callahan BJ, McMurdie PJ, Rosen MJ, Han AW, Johnson AJA, Holmes SP. DADA2: High-resolution sample inference from Illumina amplicon data. Nature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Research.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Nature Biotechnology. 2019;37:852–857. https://doi.org/10.1038/s41587-019-0209-9.</w:t>
      </w:r>
    </w:p>
    <w:p>
      <w:pPr/>
      <w:r>
        <w:rPr>
          <w:color w:val="1F4E79"/>
        </w:rPr>
        <w:t>39. Katoh K, Standley DM. MAFFT Multiple Sequence Alignment Software Version 7: Improvements in Performance and Usability. Molecular Biology and Evolution.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Applied and Environmental Microbiology. 2005;71:8228–8235. https://doi.org/10.1128/aem.71.12.8228-8235.2005.</w:t>
      </w:r>
    </w:p>
    <w:p>
      <w:pPr/>
      <w:r>
        <w:rPr>
          <w:color w:val="1F4E79"/>
        </w:rPr>
        <w:t>42. Faith DP. Conservation evaluation and phylogenetic diversity. Biological Conservation.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Scientific Reports. 2021;11:22302. https://doi.org/10.1038/s41598-021-01636-1.</w:t>
      </w:r>
    </w:p>
    <w:p>
      <w:pPr/>
      <w:r>
        <w:rPr>
          <w:color w:val="1F4E79"/>
        </w:rPr>
        <w:t>45. Anderson MJ. A new method for non‐parametric multivariate analysis of variance. Austral Ecology.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non abrégés (à abréger selon la norme NLM avant soumission)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Difference between the median distance of hybrids to their group median and the mean of the two parental values, per metric, tissue (symbols) and sequencing run, with permutations constrained within station blocks and distances corrected for small-sample bias. Values below 0: hybrids less dispersed than the parental mean.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