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 xml:space="preserve">Raw sequence data: European Nucleotide Archive accession PRJEB124417. Table numbering follows the order of first citation </w:t>
      </w:r>
      <w:r>
        <w:rPr>
          <w:i/>
          <w:color w:val="1F4E79"/>
          <w:sz w:val="18"/>
        </w:rPr>
        <w:t>in the main text.</w:t>
      </w:r>
    </w:p>
    <w:p>
      <w:pPr>
        <w:pStyle w:val="Heading1"/>
      </w:pPr>
      <w:r/>
      <w:r>
        <w:rPr>
          <w:b/>
        </w:rPr>
        <w:t>Table S</w:t>
      </w:r>
      <w:r>
        <w:rPr>
          <w:b/>
        </w:rPr>
        <w:t>1</w:t>
      </w:r>
      <w:r>
        <w:rPr>
          <w:b/>
        </w:rPr>
        <w:t>.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w:t>
      </w:r>
      <w:r>
        <w:rPr>
          <w:color w:val="1F4E79"/>
        </w:rPr>
        <w:t>4</w:t>
      </w:r>
      <w:r>
        <w:t xml:space="preserve"> note).</w:t>
      </w:r>
    </w:p>
    <w:p>
      <w:r/>
      <w:r>
        <w:rPr>
          <w:i/>
          <w:color w:val="B2182B"/>
          <w:sz w:val="16"/>
        </w:rPr>
      </w:r>
      <w:r>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25.4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across 25 chromosomes, not a threshold on the median hybrid index. Hy comprises 20 intermediate and 22 near-parental genomes; pass 2 retains all 42, pass 1 the 20 intermediate hybrids only (in parentheses), the 22 near-parental individuals being excluded rather than reassigned (main text §1). Cn and Pt counts are identical in both passes.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t>Cn / Hy (Hy, pass 1) / Pt</w:t>
            </w:r>
            <w:r>
              <w:rPr>
                <w:b/>
                <w:sz w:val="16"/>
              </w:rPr>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t>19 / 5 (2) / 0</w:t>
            </w:r>
            <w:r>
              <w:rPr>
                <w:sz w:val="16"/>
              </w:rPr>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t>8 / 6 (4) / 6</w:t>
            </w:r>
            <w:r>
              <w:rPr>
                <w:sz w:val="16"/>
              </w:rPr>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t>0 / 0 (0) / 19</w:t>
            </w:r>
            <w:r>
              <w:rPr>
                <w:sz w:val="16"/>
              </w:rPr>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t>11 / 10 (8) / 14</w:t>
            </w:r>
            <w:r>
              <w:rPr>
                <w:sz w:val="16"/>
              </w:rPr>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t>0 / 5 (1) / 10</w:t>
            </w:r>
            <w:r>
              <w:rPr>
                <w:sz w:val="16"/>
              </w:rPr>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t>0 / 1 (1) / 8</w:t>
            </w:r>
            <w:r>
              <w:rPr>
                <w:sz w:val="16"/>
              </w:rPr>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t>12 / 2 (2) / 0</w:t>
            </w:r>
            <w:r>
              <w:rPr>
                <w:sz w:val="16"/>
              </w:rPr>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t>0 / 7 (1) / 18</w:t>
            </w:r>
            <w:r>
              <w:rPr>
                <w:sz w:val="16"/>
              </w:rPr>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t>9 / 6 (1) / 4</w:t>
            </w:r>
            <w:r>
              <w:rPr>
                <w:sz w:val="16"/>
              </w:rPr>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t>59 / 42 (20) / 79</w:t>
            </w:r>
            <w:r>
              <w:rPr>
                <w:b/>
                <w:sz w:val="16"/>
              </w:rPr>
            </w:r>
          </w:p>
        </w:tc>
        <w:tc>
          <w:tcPr>
            <w:tcW w:type="dxa" w:w="864"/>
          </w:tcPr>
          <w:p>
            <w:r/>
            <w:r>
              <w:rPr>
                <w:b/>
                <w:sz w:val="16"/>
              </w:rPr>
              <w:t>727</w:t>
            </w:r>
          </w:p>
        </w:tc>
      </w:tr>
    </w:tbl>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rPr>
          <w:i w:val="0"/>
          <w:sz w:val="18"/>
        </w:rPr>
      </w:r>
      <w:r>
        <w:rPr>
          <w:i w:val="0"/>
        </w:rPr>
      </w:r>
      <w:r>
        <w:rPr>
          <w:b w:val="0"/>
          <w:i w:val="0"/>
          <w:color w:val="1F4E79"/>
        </w:rPr>
        <w:t>Coordinates are WGS84 decimal degrees taken from the field records, reported to six decimal places (≈0.1 m); the ENA sample checklist ERC000013 accepts up to eight. All stations share the same MIxS environmental context terms: broad-scale context ‘freshwater river biome’ (ENVO:01000253), local context ‘river’ (ENVO:00000022), environmental medium ‘river water’ (ENVO:01000599). The two Suran stations, Pont-d'Ain and Chavannes-sur-Suran, lie 25.4 km apart and are separated by an obstacle passable only in the downstream direction; both were sampled under site code Ain (2014) and again under Cab (2015), so each of those codes spans two physical stations. Libraries are counted as deposited.</w:t>
      </w:r>
    </w:p>
    <w:p>
      <w:r>
        <w:rPr>
          <w:i w:val="0"/>
          <w:sz w:val="18"/>
        </w:rPr>
      </w:r>
      <w:r>
        <w:rPr>
          <w:i w:val="0"/>
        </w:rPr>
      </w:r>
      <w:r>
        <w:rPr>
          <w:b w:val="0"/>
          <w:i w:val="0"/>
          <w:color w:val="1F4E79"/>
        </w:rPr>
        <w:t xml:space="preserve">Host identity. Following </w:t>
      </w:r>
      <w:r>
        <w:rPr>
          <w:b w:val="0"/>
          <w:i w:val="0"/>
          <w:color w:val="1F4E79"/>
        </w:rPr>
        <w:t>genotyping across 25 chromosomes</w:t>
      </w:r>
      <w:r>
        <w:rPr>
          <w:b w:val="0"/>
          <w:i w:val="0"/>
          <w:color w:val="1F4E79"/>
        </w:rPr>
        <w:t>, the 727 biological samples are attributed as follows under the 25-chromosome assignment: Parachondrostoma toxostoma, 322; Chondrostoma nasus, 236; and C. nasus × P. toxostoma hybrids, 169, of which 87 belong to the 22 near-parental individuals excluded from pass 1 (640 samples in pass 1). No sample remains recorded as ‘Chondrostoma sp.’. Host identity is carried by the MIxS free-text attribute ‘host scientific name’; the sample-level SCIENTIFIC_NAME remains the metagenome taxon (fish metagenome, fish gut metagenome or gill metagenome), as required by the ENA data model. No NCBI taxon exists for the hybrid, so the cross is given in free text.</w:t>
      </w:r>
    </w:p>
    <w:p>
      <w:pPr>
        <w:sectPr w:rsidR="00FC693F" w:rsidRPr="0006063C" w:rsidSect="00034616">
          <w:pgSz w:w="12240" w:h="15840"/>
          <w:pgMar w:top="1440" w:right="1800" w:bottom="1440" w:left="1800" w:header="720" w:footer="720" w:gutter="0"/>
          <w:cols w:space="720"/>
          <w:docGrid w:linePitch="360"/>
        </w:sectPr>
      </w:pPr>
      <w:r>
        <w:br w:type="page"/>
      </w:r>
    </w:p>
    <w:p>
      <w:pPr>
        <w:pStyle w:val="Heading1"/>
      </w:pPr>
      <w:r>
        <w:rPr>
          <w:i w:val="0"/>
          <w:color w:val="1F4E79"/>
        </w:rPr>
        <w:t>Table S</w:t>
      </w:r>
      <w:r>
        <w:rPr>
          <w:i w:val="0"/>
          <w:color w:val="1F4E79"/>
        </w:rPr>
        <w:t>2</w:t>
      </w:r>
      <w:r>
        <w:rPr>
          <w:i w:val="0"/>
          <w:color w:val="1F4E79"/>
        </w:rPr>
        <w:t>. Individual genotypes</w:t>
      </w:r>
    </w:p>
    <w:p>
      <w:r>
        <w:rPr>
          <w:i w:val="0"/>
          <w:color w:val="1F4E79"/>
        </w:rPr>
        <w:t xml:space="preserve">Genotypic category of each of the 180 individuals, assigned from a chromosome-level assignment across 25 chromosomes (Materials and Methods, §1). median_index: median hybrid index across chromosomes (0 = P. toxostoma, 1 = C. nasus); D: inter-chromosome discordance of the index. D separates near-parental hybrids (D 0.1508–0.5998) from parental genomes (D 0–0.1188); intermediate hybrids are identified by their median index and can have a low D (0.0838–0.5366); genome_type distinguishes parental genomes, near-parental hybrids (introgressed on 1 to 6 of the 25 chromosomes; excluded from pass 1) and intermediate hybrids; n_introgressed_chromosomes is given for parental and near-parental genomes. Morphological identification is the field identification (Ch: Chondrostoma not resolved between the two species). </w:t>
      </w:r>
      <w:r>
        <w:rPr>
          <w:i w:val="0"/>
          <w:color w:val="1F4E79"/>
        </w:rPr>
        <w:t>TL: total length. Sex: F, female; M, male; X and –, sex not determined (juveniles, or sex not assigned).</w:t>
      </w:r>
      <w:r>
        <w:rPr>
          <w:i w:val="0"/>
          <w:color w:val="1F4E79"/>
        </w:rPr>
      </w:r>
    </w:p>
    <w:tbl>
      <w:tblPr>
        <w:tblStyle w:val="LightGrid-Accent1"/>
        <w:tblW w:type="auto" w:w="0"/>
        <w:tblLook w:firstColumn="1" w:firstRow="1" w:lastColumn="0" w:lastRow="0" w:noHBand="0" w:noVBand="1" w:val="04A0"/>
      </w:tblPr>
      <w:tblGrid>
        <w:gridCol w:w="508"/>
        <w:gridCol w:w="508"/>
        <w:gridCol w:w="508"/>
        <w:gridCol w:w="508"/>
        <w:gridCol w:w="508"/>
        <w:gridCol w:w="508"/>
        <w:gridCol w:w="508"/>
        <w:gridCol w:w="508"/>
        <w:gridCol w:w="508"/>
        <w:gridCol w:w="508"/>
        <w:gridCol w:w="508"/>
        <w:gridCol w:w="508"/>
        <w:gridCol w:w="508"/>
        <w:gridCol w:w="508"/>
        <w:gridCol w:w="508"/>
        <w:gridCol w:w="508"/>
        <w:gridCol w:w="508"/>
      </w:tblGrid>
      <w:tr>
        <w:trPr>
          <w:tblHeader w:val="true"/>
        </w:trPr>
        <w:tc>
          <w:tcPr>
            <w:tcW w:type="dxa" w:w="508"/>
          </w:tcPr>
          <w:p>
            <w:pPr>
              <w:spacing w:after="0" w:line="240" w:lineRule="auto"/>
            </w:pPr>
            <w:r>
              <w:rPr>
                <w:color w:val="1F4E79"/>
                <w:sz w:val="13"/>
              </w:rPr>
              <w:t>Individual</w:t>
            </w:r>
          </w:p>
        </w:tc>
        <w:tc>
          <w:tcPr>
            <w:tcW w:type="dxa" w:w="508"/>
          </w:tcPr>
          <w:p>
            <w:pPr>
              <w:spacing w:after="0" w:line="240" w:lineRule="auto"/>
            </w:pPr>
            <w:r>
              <w:rPr>
                <w:color w:val="1F4E79"/>
                <w:sz w:val="13"/>
              </w:rPr>
              <w:t>Station</w:t>
            </w:r>
          </w:p>
        </w:tc>
        <w:tc>
          <w:tcPr>
            <w:tcW w:type="dxa" w:w="508"/>
          </w:tcPr>
          <w:p>
            <w:pPr>
              <w:spacing w:after="0" w:line="240" w:lineRule="auto"/>
            </w:pPr>
            <w:r>
              <w:rPr>
                <w:color w:val="1F4E79"/>
                <w:sz w:val="13"/>
              </w:rPr>
              <w:t>River</w:t>
            </w:r>
          </w:p>
        </w:tc>
        <w:tc>
          <w:tcPr>
            <w:tcW w:type="dxa" w:w="508"/>
          </w:tcPr>
          <w:p>
            <w:pPr>
              <w:spacing w:after="0" w:line="240" w:lineRule="auto"/>
            </w:pPr>
            <w:r>
              <w:rPr>
                <w:color w:val="1F4E79"/>
                <w:sz w:val="13"/>
              </w:rPr>
              <w:t>Year</w:t>
            </w:r>
          </w:p>
        </w:tc>
        <w:tc>
          <w:tcPr>
            <w:tcW w:type="dxa" w:w="508"/>
          </w:tcPr>
          <w:p>
            <w:pPr>
              <w:spacing w:after="0" w:line="240" w:lineRule="auto"/>
            </w:pPr>
            <w:r>
              <w:rPr>
                <w:color w:val="1F4E79"/>
                <w:sz w:val="13"/>
              </w:rPr>
              <w:t>Morph. ID</w:t>
            </w:r>
          </w:p>
        </w:tc>
        <w:tc>
          <w:tcPr>
            <w:tcW w:type="dxa" w:w="508"/>
          </w:tcPr>
          <w:p>
            <w:pPr>
              <w:spacing w:after="0" w:line="240" w:lineRule="auto"/>
            </w:pPr>
            <w:r>
              <w:rPr>
                <w:color w:val="1F4E79"/>
                <w:sz w:val="13"/>
              </w:rPr>
              <w:t>Category</w:t>
            </w:r>
          </w:p>
        </w:tc>
        <w:tc>
          <w:tcPr>
            <w:tcW w:type="dxa" w:w="508"/>
          </w:tcPr>
          <w:p>
            <w:pPr>
              <w:spacing w:after="0" w:line="240" w:lineRule="auto"/>
            </w:pPr>
            <w:r>
              <w:rPr>
                <w:color w:val="1F4E79"/>
                <w:sz w:val="13"/>
              </w:rPr>
              <w:t>Genome type</w:t>
            </w:r>
          </w:p>
        </w:tc>
        <w:tc>
          <w:tcPr>
            <w:tcW w:type="dxa" w:w="508"/>
          </w:tcPr>
          <w:p>
            <w:pPr>
              <w:spacing w:after="0" w:line="240" w:lineRule="auto"/>
            </w:pPr>
            <w:r>
              <w:rPr>
                <w:color w:val="1F4E79"/>
                <w:sz w:val="13"/>
              </w:rPr>
              <w:t>Introgr. chr.</w:t>
            </w:r>
          </w:p>
        </w:tc>
        <w:tc>
          <w:tcPr>
            <w:tcW w:type="dxa" w:w="508"/>
          </w:tcPr>
          <w:p>
            <w:pPr>
              <w:spacing w:after="0" w:line="240" w:lineRule="auto"/>
            </w:pPr>
            <w:r>
              <w:rPr>
                <w:color w:val="1F4E79"/>
                <w:sz w:val="13"/>
              </w:rPr>
              <w:t>Genotyping tissue</w:t>
            </w:r>
          </w:p>
        </w:tc>
        <w:tc>
          <w:tcPr>
            <w:tcW w:type="dxa" w:w="508"/>
          </w:tcPr>
          <w:p>
            <w:pPr>
              <w:spacing w:after="0" w:line="240" w:lineRule="auto"/>
            </w:pPr>
            <w:r>
              <w:rPr>
                <w:color w:val="1F4E79"/>
                <w:sz w:val="13"/>
              </w:rPr>
              <w:t>Median index</w:t>
            </w:r>
          </w:p>
        </w:tc>
        <w:tc>
          <w:tcPr>
            <w:tcW w:type="dxa" w:w="508"/>
          </w:tcPr>
          <w:p>
            <w:pPr>
              <w:spacing w:after="0" w:line="240" w:lineRule="auto"/>
            </w:pPr>
            <w:r>
              <w:rPr>
                <w:color w:val="1F4E79"/>
                <w:sz w:val="13"/>
              </w:rPr>
              <w:t>D</w:t>
            </w:r>
          </w:p>
        </w:tc>
        <w:tc>
          <w:tcPr>
            <w:tcW w:type="dxa" w:w="508"/>
          </w:tcPr>
          <w:p>
            <w:pPr>
              <w:spacing w:after="0" w:line="240" w:lineRule="auto"/>
            </w:pPr>
            <w:r>
              <w:rPr>
                <w:color w:val="1F4E79"/>
                <w:sz w:val="13"/>
              </w:rPr>
              <w:t>Median index, midgut</w:t>
            </w:r>
          </w:p>
        </w:tc>
        <w:tc>
          <w:tcPr>
            <w:tcW w:type="dxa" w:w="508"/>
          </w:tcPr>
          <w:p>
            <w:pPr>
              <w:spacing w:after="0" w:line="240" w:lineRule="auto"/>
            </w:pPr>
            <w:r>
              <w:rPr>
                <w:color w:val="1F4E79"/>
                <w:sz w:val="13"/>
              </w:rPr>
              <w:t>D, midgut</w:t>
            </w:r>
          </w:p>
        </w:tc>
        <w:tc>
          <w:tcPr>
            <w:tcW w:type="dxa" w:w="508"/>
          </w:tcPr>
          <w:p>
            <w:pPr>
              <w:spacing w:after="0" w:line="240" w:lineRule="auto"/>
            </w:pPr>
            <w:r>
              <w:rPr>
                <w:color w:val="1F4E79"/>
                <w:sz w:val="13"/>
              </w:rPr>
              <w:t>Median index, caudal fin</w:t>
            </w:r>
          </w:p>
        </w:tc>
        <w:tc>
          <w:tcPr>
            <w:tcW w:type="dxa" w:w="508"/>
          </w:tcPr>
          <w:p>
            <w:pPr>
              <w:spacing w:after="0" w:line="240" w:lineRule="auto"/>
            </w:pPr>
            <w:r>
              <w:rPr>
                <w:color w:val="1F4E79"/>
                <w:sz w:val="13"/>
              </w:rPr>
              <w:t>D, caudal fin</w:t>
            </w:r>
          </w:p>
        </w:tc>
        <w:tc>
          <w:tcPr>
            <w:tcW w:type="dxa" w:w="508"/>
          </w:tcPr>
          <w:p>
            <w:pPr>
              <w:spacing w:after="0" w:line="240" w:lineRule="auto"/>
            </w:pPr>
            <w:r>
              <w:rPr>
                <w:color w:val="1F4E79"/>
                <w:sz w:val="13"/>
              </w:rPr>
              <w:t>Sex</w:t>
            </w:r>
          </w:p>
        </w:tc>
        <w:tc>
          <w:tcPr>
            <w:tcW w:type="dxa" w:w="508"/>
          </w:tcPr>
          <w:p>
            <w:pPr>
              <w:spacing w:after="0" w:line="240" w:lineRule="auto"/>
            </w:pPr>
            <w:r>
              <w:rPr>
                <w:color w:val="1F4E79"/>
                <w:sz w:val="13"/>
              </w:rPr>
              <w:t>TL (cm)</w:t>
            </w:r>
          </w:p>
        </w:tc>
      </w:tr>
      <w:tr>
        <w:tc>
          <w:tcPr>
            <w:tcW w:type="dxa" w:w="508"/>
          </w:tcPr>
          <w:p>
            <w:pPr>
              <w:spacing w:after="0" w:line="240" w:lineRule="auto"/>
            </w:pPr>
            <w:r>
              <w:rPr>
                <w:color w:val="1F4E79"/>
                <w:sz w:val="13"/>
              </w:rPr>
              <w:t>2014_Ain_1001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0.0340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2014_Ain_1013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2014_Ain_1014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2014_Ain_1036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0.9696</w:t>
            </w:r>
          </w:p>
        </w:tc>
        <w:tc>
          <w:tcPr>
            <w:tcW w:type="dxa" w:w="508"/>
          </w:tcPr>
          <w:p>
            <w:pPr>
              <w:spacing w:after="0" w:line="240" w:lineRule="auto"/>
            </w:pPr>
            <w:r>
              <w:rPr>
                <w:color w:val="1F4E79"/>
                <w:sz w:val="13"/>
              </w:rPr>
              <w:t>0.0594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w:t>
            </w:r>
          </w:p>
        </w:tc>
      </w:tr>
      <w:tr>
        <w:tc>
          <w:tcPr>
            <w:tcW w:type="dxa" w:w="508"/>
          </w:tcPr>
          <w:p>
            <w:pPr>
              <w:spacing w:after="0" w:line="240" w:lineRule="auto"/>
            </w:pPr>
            <w:r>
              <w:rPr>
                <w:color w:val="1F4E79"/>
                <w:sz w:val="13"/>
              </w:rPr>
              <w:t>2014_Ain_1037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39.5</w:t>
            </w:r>
          </w:p>
        </w:tc>
      </w:tr>
      <w:tr>
        <w:tc>
          <w:tcPr>
            <w:tcW w:type="dxa" w:w="508"/>
          </w:tcPr>
          <w:p>
            <w:pPr>
              <w:spacing w:after="0" w:line="240" w:lineRule="auto"/>
            </w:pPr>
            <w:r>
              <w:rPr>
                <w:color w:val="1F4E79"/>
                <w:sz w:val="13"/>
              </w:rPr>
              <w:t>2014_Ain_1038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2014_Ain_1039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2014_Ain_1040</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2014_Ain_1041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2014_Ain_1043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29.5</w:t>
            </w:r>
          </w:p>
        </w:tc>
      </w:tr>
      <w:tr>
        <w:tc>
          <w:tcPr>
            <w:tcW w:type="dxa" w:w="508"/>
          </w:tcPr>
          <w:p>
            <w:pPr>
              <w:spacing w:after="0" w:line="240" w:lineRule="auto"/>
            </w:pPr>
            <w:r>
              <w:rPr>
                <w:color w:val="1F4E79"/>
                <w:sz w:val="13"/>
              </w:rPr>
              <w:t>2014_Avi_1002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0.0823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2014_Avi_1004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25.5</w:t>
            </w:r>
          </w:p>
        </w:tc>
      </w:tr>
      <w:tr>
        <w:tc>
          <w:tcPr>
            <w:tcW w:type="dxa" w:w="508"/>
          </w:tcPr>
          <w:p>
            <w:pPr>
              <w:spacing w:after="0" w:line="240" w:lineRule="auto"/>
            </w:pPr>
            <w:r>
              <w:rPr>
                <w:color w:val="1F4E79"/>
                <w:sz w:val="13"/>
              </w:rPr>
              <w:t>2014_Avi_1005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0.9817</w:t>
            </w:r>
          </w:p>
        </w:tc>
        <w:tc>
          <w:tcPr>
            <w:tcW w:type="dxa" w:w="508"/>
          </w:tcPr>
          <w:p>
            <w:pPr>
              <w:spacing w:after="0" w:line="240" w:lineRule="auto"/>
            </w:pPr>
            <w:r>
              <w:rPr>
                <w:color w:val="1F4E79"/>
                <w:sz w:val="13"/>
              </w:rPr>
              <w:t>0.0692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2014_Avi_1036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0.0252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2014_Avi_1037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35</w:t>
            </w:r>
          </w:p>
        </w:tc>
      </w:tr>
      <w:tr>
        <w:tc>
          <w:tcPr>
            <w:tcW w:type="dxa" w:w="508"/>
          </w:tcPr>
          <w:p>
            <w:pPr>
              <w:spacing w:after="0" w:line="240" w:lineRule="auto"/>
            </w:pPr>
            <w:r>
              <w:rPr>
                <w:color w:val="1F4E79"/>
                <w:sz w:val="13"/>
              </w:rPr>
              <w:t>2014_Avi_1038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2014_Bue_1001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0.9998</w:t>
            </w:r>
          </w:p>
        </w:tc>
        <w:tc>
          <w:tcPr>
            <w:tcW w:type="dxa" w:w="508"/>
          </w:tcPr>
          <w:p>
            <w:pPr>
              <w:spacing w:after="0" w:line="240" w:lineRule="auto"/>
            </w:pPr>
            <w:r>
              <w:rPr>
                <w:color w:val="1F4E79"/>
                <w:sz w:val="13"/>
              </w:rPr>
              <w:t>0.0786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2014_Bue_1004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0.0899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2014_Bue_1006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0.9122</w:t>
            </w:r>
          </w:p>
        </w:tc>
        <w:tc>
          <w:tcPr>
            <w:tcW w:type="dxa" w:w="508"/>
          </w:tcPr>
          <w:p>
            <w:pPr>
              <w:spacing w:after="0" w:line="240" w:lineRule="auto"/>
            </w:pPr>
            <w:r>
              <w:rPr>
                <w:color w:val="1F4E79"/>
                <w:sz w:val="13"/>
              </w:rPr>
              <w:t>0.1301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0.0513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2014_Bue_1008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0.0878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23.5</w:t>
            </w:r>
          </w:p>
        </w:tc>
      </w:tr>
      <w:tr>
        <w:tc>
          <w:tcPr>
            <w:tcW w:type="dxa" w:w="508"/>
          </w:tcPr>
          <w:p>
            <w:pPr>
              <w:spacing w:after="0" w:line="240" w:lineRule="auto"/>
            </w:pPr>
            <w:r>
              <w:rPr>
                <w:color w:val="1F4E79"/>
                <w:sz w:val="13"/>
              </w:rPr>
              <w:t>2014_Bue_1011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0.5485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0.0008</w:t>
            </w:r>
          </w:p>
        </w:tc>
        <w:tc>
          <w:tcPr>
            <w:tcW w:type="dxa" w:w="508"/>
          </w:tcPr>
          <w:p>
            <w:pPr>
              <w:spacing w:after="0" w:line="240" w:lineRule="auto"/>
            </w:pPr>
            <w:r>
              <w:rPr>
                <w:color w:val="1F4E79"/>
                <w:sz w:val="13"/>
              </w:rPr>
              <w:t>0.0462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2014_Bue_1019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2014_Man_1001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2014_Man_1002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0.0033</w:t>
            </w:r>
          </w:p>
        </w:tc>
        <w:tc>
          <w:tcPr>
            <w:tcW w:type="dxa" w:w="508"/>
          </w:tcPr>
          <w:p>
            <w:pPr>
              <w:spacing w:after="0" w:line="240" w:lineRule="auto"/>
            </w:pPr>
            <w:r>
              <w:rPr>
                <w:color w:val="1F4E79"/>
                <w:sz w:val="13"/>
              </w:rPr>
              <w:t>0.3655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2014_Man_1010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0.5419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0.1508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2014_Man_1012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2014_Man_1013</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2014_Man_1014</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0.0024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2014_Man_1015</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2014_Man_1016</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2014_Man_1017</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2014_Man_1018</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0.0202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2014_Man_1019</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0.2032</w:t>
            </w:r>
          </w:p>
        </w:tc>
        <w:tc>
          <w:tcPr>
            <w:tcW w:type="dxa" w:w="508"/>
          </w:tcPr>
          <w:p>
            <w:pPr>
              <w:spacing w:after="0" w:line="240" w:lineRule="auto"/>
            </w:pPr>
            <w:r>
              <w:rPr>
                <w:color w:val="1F4E79"/>
                <w:sz w:val="13"/>
              </w:rPr>
              <w:t>0.1156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2014_Man_1022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2014_Per_1011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0.0181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2014_Per_1012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2014_Per_1013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r>
      <w:tr>
        <w:tc>
          <w:tcPr>
            <w:tcW w:type="dxa" w:w="508"/>
          </w:tcPr>
          <w:p>
            <w:pPr>
              <w:spacing w:after="0" w:line="240" w:lineRule="auto"/>
            </w:pPr>
            <w:r>
              <w:rPr>
                <w:color w:val="1F4E79"/>
                <w:sz w:val="13"/>
              </w:rPr>
              <w:t>2014_Per_1014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2014_Per_2012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0.2199</w:t>
            </w:r>
          </w:p>
        </w:tc>
        <w:tc>
          <w:tcPr>
            <w:tcW w:type="dxa" w:w="508"/>
          </w:tcPr>
          <w:p>
            <w:pPr>
              <w:spacing w:after="0" w:line="240" w:lineRule="auto"/>
            </w:pPr>
            <w:r>
              <w:rPr>
                <w:color w:val="1F4E79"/>
                <w:sz w:val="13"/>
              </w:rPr>
              <w:t>0.1800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2014_Per_2015</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0.3614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2015_Avi_1002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0.5333</w:t>
            </w:r>
          </w:p>
        </w:tc>
        <w:tc>
          <w:tcPr>
            <w:tcW w:type="dxa" w:w="508"/>
          </w:tcPr>
          <w:p>
            <w:pPr>
              <w:spacing w:after="0" w:line="240" w:lineRule="auto"/>
            </w:pPr>
            <w:r>
              <w:rPr>
                <w:color w:val="1F4E79"/>
                <w:sz w:val="13"/>
              </w:rPr>
              <w:t>0.0988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w:t>
            </w:r>
          </w:p>
        </w:tc>
      </w:tr>
      <w:tr>
        <w:tc>
          <w:tcPr>
            <w:tcW w:type="dxa" w:w="508"/>
          </w:tcPr>
          <w:p>
            <w:pPr>
              <w:spacing w:after="0" w:line="240" w:lineRule="auto"/>
            </w:pPr>
            <w:r>
              <w:rPr>
                <w:color w:val="1F4E79"/>
                <w:sz w:val="13"/>
              </w:rPr>
              <w:t>2015_Avi_1005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2015_Avi_1006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0.9896</w:t>
            </w:r>
          </w:p>
        </w:tc>
        <w:tc>
          <w:tcPr>
            <w:tcW w:type="dxa" w:w="508"/>
          </w:tcPr>
          <w:p>
            <w:pPr>
              <w:spacing w:after="0" w:line="240" w:lineRule="auto"/>
            </w:pPr>
            <w:r>
              <w:rPr>
                <w:color w:val="1F4E79"/>
                <w:sz w:val="13"/>
              </w:rPr>
              <w:t>0.1041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0.0751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2015_Avi_1009</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2015_Avi_1010</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2015_Avi_1011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0.2730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2015_Avi_1012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2015_Avi_1013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0.4865</w:t>
            </w:r>
          </w:p>
        </w:tc>
        <w:tc>
          <w:tcPr>
            <w:tcW w:type="dxa" w:w="508"/>
          </w:tcPr>
          <w:p>
            <w:pPr>
              <w:spacing w:after="0" w:line="240" w:lineRule="auto"/>
            </w:pPr>
            <w:r>
              <w:rPr>
                <w:color w:val="1F4E79"/>
                <w:sz w:val="13"/>
              </w:rPr>
              <w:t>0.4855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21.5</w:t>
            </w:r>
          </w:p>
        </w:tc>
      </w:tr>
      <w:tr>
        <w:tc>
          <w:tcPr>
            <w:tcW w:type="dxa" w:w="508"/>
          </w:tcPr>
          <w:p>
            <w:pPr>
              <w:spacing w:after="0" w:line="240" w:lineRule="auto"/>
            </w:pPr>
            <w:r>
              <w:rPr>
                <w:color w:val="1F4E79"/>
                <w:sz w:val="13"/>
              </w:rPr>
              <w:t>2015_Bau_1002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2015_Bau_1003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2015_Bau_1005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0.0004</w:t>
            </w:r>
          </w:p>
        </w:tc>
        <w:tc>
          <w:tcPr>
            <w:tcW w:type="dxa" w:w="508"/>
          </w:tcPr>
          <w:p>
            <w:pPr>
              <w:spacing w:after="0" w:line="240" w:lineRule="auto"/>
            </w:pPr>
            <w:r>
              <w:rPr>
                <w:color w:val="1F4E79"/>
                <w:sz w:val="13"/>
              </w:rPr>
              <w:t>0.0439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2015_Bau_1006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0.5323</w:t>
            </w:r>
          </w:p>
        </w:tc>
        <w:tc>
          <w:tcPr>
            <w:tcW w:type="dxa" w:w="508"/>
          </w:tcPr>
          <w:p>
            <w:pPr>
              <w:spacing w:after="0" w:line="240" w:lineRule="auto"/>
            </w:pPr>
            <w:r>
              <w:rPr>
                <w:color w:val="1F4E79"/>
                <w:sz w:val="13"/>
              </w:rPr>
              <w:t>0.1176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2015_Bau_1009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0.4365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2015_Bau_1011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2015_Bau_1012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2015_Bau_1013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2015_Bau_1014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0.0042</w:t>
            </w:r>
          </w:p>
        </w:tc>
        <w:tc>
          <w:tcPr>
            <w:tcW w:type="dxa" w:w="508"/>
          </w:tcPr>
          <w:p>
            <w:pPr>
              <w:spacing w:after="0" w:line="240" w:lineRule="auto"/>
            </w:pPr>
            <w:r>
              <w:rPr>
                <w:color w:val="1F4E79"/>
                <w:sz w:val="13"/>
              </w:rPr>
              <w:t>0.0386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0.0171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2015_Bau_1016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6</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0.5148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2015_Bau_1017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0.0156</w:t>
            </w:r>
          </w:p>
        </w:tc>
        <w:tc>
          <w:tcPr>
            <w:tcW w:type="dxa" w:w="508"/>
          </w:tcPr>
          <w:p>
            <w:pPr>
              <w:spacing w:after="0" w:line="240" w:lineRule="auto"/>
            </w:pPr>
            <w:r>
              <w:rPr>
                <w:color w:val="1F4E79"/>
                <w:sz w:val="13"/>
              </w:rPr>
              <w:t>0.0436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2015_Bau_1018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0.0028</w:t>
            </w:r>
          </w:p>
        </w:tc>
        <w:tc>
          <w:tcPr>
            <w:tcW w:type="dxa" w:w="508"/>
          </w:tcPr>
          <w:p>
            <w:pPr>
              <w:spacing w:after="0" w:line="240" w:lineRule="auto"/>
            </w:pPr>
            <w:r>
              <w:rPr>
                <w:color w:val="1F4E79"/>
                <w:sz w:val="13"/>
              </w:rPr>
              <w:t>0.1117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2015_Bau_1019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0.4675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2015_Bau_1020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2015_Bau_1021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0.2230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2015_Bau_1022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0.0555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2015_Bau_1023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0.0626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0.0279</w:t>
            </w:r>
          </w:p>
        </w:tc>
        <w:tc>
          <w:tcPr>
            <w:tcW w:type="dxa" w:w="508"/>
          </w:tcPr>
          <w:p>
            <w:pPr>
              <w:spacing w:after="0" w:line="240" w:lineRule="auto"/>
            </w:pPr>
            <w:r>
              <w:rPr>
                <w:color w:val="1F4E79"/>
                <w:sz w:val="13"/>
              </w:rPr>
              <w:t>0.0676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33.5</w:t>
            </w:r>
          </w:p>
        </w:tc>
      </w:tr>
      <w:tr>
        <w:tc>
          <w:tcPr>
            <w:tcW w:type="dxa" w:w="508"/>
          </w:tcPr>
          <w:p>
            <w:pPr>
              <w:spacing w:after="0" w:line="240" w:lineRule="auto"/>
            </w:pPr>
            <w:r>
              <w:rPr>
                <w:color w:val="1F4E79"/>
                <w:sz w:val="13"/>
              </w:rPr>
              <w:t>2015_Bue_1004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0.1096</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0.0098</w:t>
            </w:r>
          </w:p>
        </w:tc>
        <w:tc>
          <w:tcPr>
            <w:tcW w:type="dxa" w:w="508"/>
          </w:tcPr>
          <w:p>
            <w:pPr>
              <w:spacing w:after="0" w:line="240" w:lineRule="auto"/>
            </w:pPr>
            <w:r>
              <w:rPr>
                <w:color w:val="1F4E79"/>
                <w:sz w:val="13"/>
              </w:rPr>
              <w:t>0.1120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0.1950</w:t>
            </w:r>
          </w:p>
        </w:tc>
        <w:tc>
          <w:tcPr>
            <w:tcW w:type="dxa" w:w="508"/>
          </w:tcPr>
          <w:p>
            <w:pPr>
              <w:spacing w:after="0" w:line="240" w:lineRule="auto"/>
            </w:pPr>
            <w:r>
              <w:rPr>
                <w:color w:val="1F4E79"/>
                <w:sz w:val="13"/>
              </w:rPr>
              <w:t>0.2510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2015_Bue_1009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0.9237</w:t>
            </w:r>
          </w:p>
        </w:tc>
        <w:tc>
          <w:tcPr>
            <w:tcW w:type="dxa" w:w="508"/>
          </w:tcPr>
          <w:p>
            <w:pPr>
              <w:spacing w:after="0" w:line="240" w:lineRule="auto"/>
            </w:pPr>
            <w:r>
              <w:rPr>
                <w:color w:val="1F4E79"/>
                <w:sz w:val="13"/>
              </w:rPr>
              <w:t>0.1175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2015_Bue_1010</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0.5328</w:t>
            </w:r>
          </w:p>
        </w:tc>
        <w:tc>
          <w:tcPr>
            <w:tcW w:type="dxa" w:w="508"/>
          </w:tcPr>
          <w:p>
            <w:pPr>
              <w:spacing w:after="0" w:line="240" w:lineRule="auto"/>
            </w:pPr>
            <w:r>
              <w:rPr>
                <w:color w:val="1F4E79"/>
                <w:sz w:val="13"/>
              </w:rPr>
              <w:t>0.1191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w:t>
            </w:r>
          </w:p>
        </w:tc>
      </w:tr>
      <w:tr>
        <w:tc>
          <w:tcPr>
            <w:tcW w:type="dxa" w:w="508"/>
          </w:tcPr>
          <w:p>
            <w:pPr>
              <w:spacing w:after="0" w:line="240" w:lineRule="auto"/>
            </w:pPr>
            <w:r>
              <w:rPr>
                <w:color w:val="1F4E79"/>
                <w:sz w:val="13"/>
              </w:rPr>
              <w:t>2015_Bue_1011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0.7016</w:t>
            </w:r>
          </w:p>
        </w:tc>
        <w:tc>
          <w:tcPr>
            <w:tcW w:type="dxa" w:w="508"/>
          </w:tcPr>
          <w:p>
            <w:pPr>
              <w:spacing w:after="0" w:line="240" w:lineRule="auto"/>
            </w:pPr>
            <w:r>
              <w:rPr>
                <w:color w:val="1F4E79"/>
                <w:sz w:val="13"/>
              </w:rPr>
              <w:t>0.1848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2015_Bue_1012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0.0431</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0.8773</w:t>
            </w:r>
          </w:p>
        </w:tc>
        <w:tc>
          <w:tcPr>
            <w:tcW w:type="dxa" w:w="508"/>
          </w:tcPr>
          <w:p>
            <w:pPr>
              <w:spacing w:after="0" w:line="240" w:lineRule="auto"/>
            </w:pPr>
            <w:r>
              <w:rPr>
                <w:color w:val="1F4E79"/>
                <w:sz w:val="13"/>
              </w:rPr>
              <w:t>0.1445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2015_Bue_1017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0.9986</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31.5</w:t>
            </w:r>
          </w:p>
        </w:tc>
      </w:tr>
      <w:tr>
        <w:tc>
          <w:tcPr>
            <w:tcW w:type="dxa" w:w="508"/>
          </w:tcPr>
          <w:p>
            <w:pPr>
              <w:spacing w:after="0" w:line="240" w:lineRule="auto"/>
            </w:pPr>
            <w:r>
              <w:rPr>
                <w:color w:val="1F4E79"/>
                <w:sz w:val="13"/>
              </w:rPr>
              <w:t>2015_Bue_1018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0.9036</w:t>
            </w:r>
          </w:p>
        </w:tc>
        <w:tc>
          <w:tcPr>
            <w:tcW w:type="dxa" w:w="508"/>
          </w:tcPr>
          <w:p>
            <w:pPr>
              <w:spacing w:after="0" w:line="240" w:lineRule="auto"/>
            </w:pPr>
            <w:r>
              <w:rPr>
                <w:color w:val="1F4E79"/>
                <w:sz w:val="13"/>
              </w:rPr>
              <w:t>0.0938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31</w:t>
            </w:r>
          </w:p>
        </w:tc>
      </w:tr>
      <w:tr>
        <w:tc>
          <w:tcPr>
            <w:tcW w:type="dxa" w:w="508"/>
          </w:tcPr>
          <w:p>
            <w:pPr>
              <w:spacing w:after="0" w:line="240" w:lineRule="auto"/>
            </w:pPr>
            <w:r>
              <w:rPr>
                <w:color w:val="1F4E79"/>
                <w:sz w:val="13"/>
              </w:rPr>
              <w:t>2015_Caa_1001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0.9453</w:t>
            </w:r>
          </w:p>
        </w:tc>
        <w:tc>
          <w:tcPr>
            <w:tcW w:type="dxa" w:w="508"/>
          </w:tcPr>
          <w:p>
            <w:pPr>
              <w:spacing w:after="0" w:line="240" w:lineRule="auto"/>
            </w:pPr>
            <w:r>
              <w:rPr>
                <w:color w:val="1F4E79"/>
                <w:sz w:val="13"/>
              </w:rPr>
              <w:t>0.0629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2015_Caa_1002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0.9883</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0.1054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2015_Caa_1004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2015_Caa_1005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0.9290</w:t>
            </w:r>
          </w:p>
        </w:tc>
        <w:tc>
          <w:tcPr>
            <w:tcW w:type="dxa" w:w="508"/>
          </w:tcPr>
          <w:p>
            <w:pPr>
              <w:spacing w:after="0" w:line="240" w:lineRule="auto"/>
            </w:pPr>
            <w:r>
              <w:rPr>
                <w:color w:val="1F4E79"/>
                <w:sz w:val="13"/>
              </w:rPr>
              <w:t>0.1325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0.9938</w:t>
            </w:r>
          </w:p>
        </w:tc>
        <w:tc>
          <w:tcPr>
            <w:tcW w:type="dxa" w:w="508"/>
          </w:tcPr>
          <w:p>
            <w:pPr>
              <w:spacing w:after="0" w:line="240" w:lineRule="auto"/>
            </w:pPr>
            <w:r>
              <w:rPr>
                <w:color w:val="1F4E79"/>
                <w:sz w:val="13"/>
              </w:rPr>
              <w:t>0.0560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0.9088</w:t>
            </w:r>
          </w:p>
        </w:tc>
        <w:tc>
          <w:tcPr>
            <w:tcW w:type="dxa" w:w="508"/>
          </w:tcPr>
          <w:p>
            <w:pPr>
              <w:spacing w:after="0" w:line="240" w:lineRule="auto"/>
            </w:pPr>
            <w:r>
              <w:rPr>
                <w:color w:val="1F4E79"/>
                <w:sz w:val="13"/>
              </w:rPr>
              <w:t>0.0838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2015_Caa_1010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0.0906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2015_Caa_1012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0.0416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2015_Caa_1013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2015_Caa_1014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0.0167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2015_Caa_1015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0.7577</w:t>
            </w:r>
          </w:p>
        </w:tc>
        <w:tc>
          <w:tcPr>
            <w:tcW w:type="dxa" w:w="508"/>
          </w:tcPr>
          <w:p>
            <w:pPr>
              <w:spacing w:after="0" w:line="240" w:lineRule="auto"/>
            </w:pPr>
            <w:r>
              <w:rPr>
                <w:color w:val="1F4E79"/>
                <w:sz w:val="13"/>
              </w:rPr>
              <w:t>0.5366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2015_Caa_1016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0.0943</w:t>
            </w:r>
          </w:p>
        </w:tc>
        <w:tc>
          <w:tcPr>
            <w:tcW w:type="dxa" w:w="508"/>
          </w:tcPr>
          <w:p>
            <w:pPr>
              <w:spacing w:after="0" w:line="240" w:lineRule="auto"/>
            </w:pPr>
            <w:r>
              <w:rPr>
                <w:color w:val="1F4E79"/>
                <w:sz w:val="13"/>
              </w:rPr>
              <w:t>0.0909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2015_Caa_1018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2015_Caa_1019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2015_Caa_1020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2015_Cab_1001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0.9621</w:t>
            </w:r>
          </w:p>
        </w:tc>
        <w:tc>
          <w:tcPr>
            <w:tcW w:type="dxa" w:w="508"/>
          </w:tcPr>
          <w:p>
            <w:pPr>
              <w:spacing w:after="0" w:line="240" w:lineRule="auto"/>
            </w:pPr>
            <w:r>
              <w:rPr>
                <w:color w:val="1F4E79"/>
                <w:sz w:val="13"/>
              </w:rPr>
              <w:t>0.1188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2015_Cab_1003</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0.9853</w:t>
            </w:r>
          </w:p>
        </w:tc>
        <w:tc>
          <w:tcPr>
            <w:tcW w:type="dxa" w:w="508"/>
          </w:tcPr>
          <w:p>
            <w:pPr>
              <w:spacing w:after="0" w:line="240" w:lineRule="auto"/>
            </w:pPr>
            <w:r>
              <w:rPr>
                <w:color w:val="1F4E79"/>
                <w:sz w:val="13"/>
              </w:rPr>
              <w:t>0.0704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2015_Cab_1004</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0.9929</w:t>
            </w:r>
          </w:p>
        </w:tc>
        <w:tc>
          <w:tcPr>
            <w:tcW w:type="dxa" w:w="508"/>
          </w:tcPr>
          <w:p>
            <w:pPr>
              <w:spacing w:after="0" w:line="240" w:lineRule="auto"/>
            </w:pPr>
            <w:r>
              <w:rPr>
                <w:color w:val="1F4E79"/>
                <w:sz w:val="13"/>
              </w:rPr>
              <w:t>0.0960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2015_Cab_1005</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2015_Cab_1006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0.9640</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32.5</w:t>
            </w:r>
          </w:p>
        </w:tc>
      </w:tr>
      <w:tr>
        <w:tc>
          <w:tcPr>
            <w:tcW w:type="dxa" w:w="508"/>
          </w:tcPr>
          <w:p>
            <w:pPr>
              <w:spacing w:after="0" w:line="240" w:lineRule="auto"/>
            </w:pPr>
            <w:r>
              <w:rPr>
                <w:color w:val="1F4E79"/>
                <w:sz w:val="13"/>
              </w:rPr>
              <w:t>2015_Cab_1007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0.9952</w:t>
            </w:r>
          </w:p>
        </w:tc>
        <w:tc>
          <w:tcPr>
            <w:tcW w:type="dxa" w:w="508"/>
          </w:tcPr>
          <w:p>
            <w:pPr>
              <w:spacing w:after="0" w:line="240" w:lineRule="auto"/>
            </w:pPr>
            <w:r>
              <w:rPr>
                <w:color w:val="1F4E79"/>
                <w:sz w:val="13"/>
              </w:rPr>
              <w:t>0.0947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2015_Cab_1008</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47</w:t>
            </w:r>
          </w:p>
        </w:tc>
      </w:tr>
      <w:tr>
        <w:tc>
          <w:tcPr>
            <w:tcW w:type="dxa" w:w="508"/>
          </w:tcPr>
          <w:p>
            <w:pPr>
              <w:spacing w:after="0" w:line="240" w:lineRule="auto"/>
            </w:pPr>
            <w:r>
              <w:rPr>
                <w:color w:val="1F4E79"/>
                <w:sz w:val="13"/>
              </w:rPr>
              <w:t>2015_Cab_1009</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0.8902</w:t>
            </w:r>
          </w:p>
        </w:tc>
        <w:tc>
          <w:tcPr>
            <w:tcW w:type="dxa" w:w="508"/>
          </w:tcPr>
          <w:p>
            <w:pPr>
              <w:spacing w:after="0" w:line="240" w:lineRule="auto"/>
            </w:pPr>
            <w:r>
              <w:rPr>
                <w:color w:val="1F4E79"/>
                <w:sz w:val="13"/>
              </w:rPr>
              <w:t>0.1147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42</w:t>
            </w:r>
          </w:p>
        </w:tc>
      </w:tr>
      <w:tr>
        <w:tc>
          <w:tcPr>
            <w:tcW w:type="dxa" w:w="508"/>
          </w:tcPr>
          <w:p>
            <w:pPr>
              <w:spacing w:after="0" w:line="240" w:lineRule="auto"/>
            </w:pPr>
            <w:r>
              <w:rPr>
                <w:color w:val="1F4E79"/>
                <w:sz w:val="13"/>
              </w:rPr>
              <w:t>2015_Cab_1010</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0.7684</w:t>
            </w:r>
          </w:p>
        </w:tc>
        <w:tc>
          <w:tcPr>
            <w:tcW w:type="dxa" w:w="508"/>
          </w:tcPr>
          <w:p>
            <w:pPr>
              <w:spacing w:after="0" w:line="240" w:lineRule="auto"/>
            </w:pPr>
            <w:r>
              <w:rPr>
                <w:color w:val="1F4E79"/>
                <w:sz w:val="13"/>
              </w:rPr>
              <w:t>0.0880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40</w:t>
            </w:r>
          </w:p>
        </w:tc>
      </w:tr>
      <w:tr>
        <w:tc>
          <w:tcPr>
            <w:tcW w:type="dxa" w:w="508"/>
          </w:tcPr>
          <w:p>
            <w:pPr>
              <w:spacing w:after="0" w:line="240" w:lineRule="auto"/>
            </w:pPr>
            <w:r>
              <w:rPr>
                <w:color w:val="1F4E79"/>
                <w:sz w:val="13"/>
              </w:rPr>
              <w:t>2015_Cab_1011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0.0382</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2015_Cab_1012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0.0457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0.0012</w:t>
            </w:r>
          </w:p>
        </w:tc>
        <w:tc>
          <w:tcPr>
            <w:tcW w:type="dxa" w:w="508"/>
          </w:tcPr>
          <w:p>
            <w:pPr>
              <w:spacing w:after="0" w:line="240" w:lineRule="auto"/>
            </w:pPr>
            <w:r>
              <w:rPr>
                <w:color w:val="1F4E79"/>
                <w:sz w:val="13"/>
              </w:rPr>
              <w:t>0.0674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2015_Cab_1014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2015_Cab_1015</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2015_Cab_1016</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2015_Cab_1017</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2015_Cab_1018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0.0014</w:t>
            </w:r>
          </w:p>
        </w:tc>
        <w:tc>
          <w:tcPr>
            <w:tcW w:type="dxa" w:w="508"/>
          </w:tcPr>
          <w:p>
            <w:pPr>
              <w:spacing w:after="0" w:line="240" w:lineRule="auto"/>
            </w:pPr>
            <w:r>
              <w:rPr>
                <w:color w:val="1F4E79"/>
                <w:sz w:val="13"/>
              </w:rPr>
              <w:t>0.0655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2015_Cab_1019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2015_Jus_1001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0.5853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2015_Jus_1003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0.5998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0.5155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2015_Jus_1007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2015_Jus_1008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0.0288</w:t>
            </w:r>
          </w:p>
        </w:tc>
        <w:tc>
          <w:tcPr>
            <w:tcW w:type="dxa" w:w="508"/>
          </w:tcPr>
          <w:p>
            <w:pPr>
              <w:spacing w:after="0" w:line="240" w:lineRule="auto"/>
            </w:pPr>
            <w:r>
              <w:rPr>
                <w:color w:val="1F4E79"/>
                <w:sz w:val="13"/>
              </w:rPr>
              <w:t>0.0577</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0.0104</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0.4733</w:t>
            </w:r>
          </w:p>
        </w:tc>
        <w:tc>
          <w:tcPr>
            <w:tcW w:type="dxa" w:w="508"/>
          </w:tcPr>
          <w:p>
            <w:pPr>
              <w:spacing w:after="0" w:line="240" w:lineRule="auto"/>
            </w:pPr>
            <w:r>
              <w:rPr>
                <w:color w:val="1F4E79"/>
                <w:sz w:val="13"/>
              </w:rPr>
              <w:t>0.4715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2015_Jus_1010</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0.1021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2015_Jus_1011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3</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0.9626</w:t>
            </w:r>
          </w:p>
        </w:tc>
        <w:tc>
          <w:tcPr>
            <w:tcW w:type="dxa" w:w="508"/>
          </w:tcPr>
          <w:p>
            <w:pPr>
              <w:spacing w:after="0" w:line="240" w:lineRule="auto"/>
            </w:pPr>
            <w:r>
              <w:rPr>
                <w:color w:val="1F4E79"/>
                <w:sz w:val="13"/>
              </w:rPr>
              <w:t>0.0847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43.5</w:t>
            </w:r>
          </w:p>
        </w:tc>
      </w:tr>
      <w:tr>
        <w:tc>
          <w:tcPr>
            <w:tcW w:type="dxa" w:w="508"/>
          </w:tcPr>
          <w:p>
            <w:pPr>
              <w:spacing w:after="0" w:line="240" w:lineRule="auto"/>
            </w:pPr>
            <w:r>
              <w:rPr>
                <w:color w:val="1F4E79"/>
                <w:sz w:val="13"/>
              </w:rPr>
              <w:t>2015_Jus_1012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2015_Jus_1013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0.9569</w:t>
            </w:r>
          </w:p>
        </w:tc>
        <w:tc>
          <w:tcPr>
            <w:tcW w:type="dxa" w:w="508"/>
          </w:tcPr>
          <w:p>
            <w:pPr>
              <w:spacing w:after="0" w:line="240" w:lineRule="auto"/>
            </w:pPr>
            <w:r>
              <w:rPr>
                <w:color w:val="1F4E79"/>
                <w:sz w:val="13"/>
              </w:rPr>
              <w:t>0.0798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44</w:t>
            </w:r>
          </w:p>
        </w:tc>
      </w:tr>
      <w:tr>
        <w:tc>
          <w:tcPr>
            <w:tcW w:type="dxa" w:w="508"/>
          </w:tcPr>
          <w:p>
            <w:pPr>
              <w:spacing w:after="0" w:line="240" w:lineRule="auto"/>
            </w:pPr>
            <w:r>
              <w:rPr>
                <w:color w:val="1F4E79"/>
                <w:sz w:val="13"/>
              </w:rPr>
              <w:t>2015_Jus_1014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0.9524</w:t>
            </w:r>
          </w:p>
        </w:tc>
        <w:tc>
          <w:tcPr>
            <w:tcW w:type="dxa" w:w="508"/>
          </w:tcPr>
          <w:p>
            <w:pPr>
              <w:spacing w:after="0" w:line="240" w:lineRule="auto"/>
            </w:pPr>
            <w:r>
              <w:rPr>
                <w:color w:val="1F4E79"/>
                <w:sz w:val="13"/>
              </w:rPr>
              <w:t>0.0708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0.2304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2015_Jus_1017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0.0995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2015_Jus_1018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bl>
    <w:p>
      <w:r>
        <w:rPr>
          <w:i w:val="0"/>
          <w:color w:val="1F4E79"/>
        </w:rPr>
        <w:t>Genotyping tissue. Q-scores were computed on liver, a tissue not included in the microbiota dataset, for 175 individuals. Three individuals without liver data were assigned from adjustments on midgut and on caudal fin, given in separate columns; both adjustments place them in P. toxostoma (D from 0.0100 to 0.0577), and no single value is reported for them in the median_index and D columns. Two C. nasus individuals were identified by another method with no recoverable Q-score record; their category is reported, their index is not. –: not applicable or not available.</w:t>
      </w:r>
    </w:p>
    <w:p>
      <w:pPr>
        <w:sectPr w:rsidR="00FC693F" w:rsidRPr="0006063C" w:rsidSect="00034616">
          <w:pgSz w:w="15840" w:h="12240" w:orient="landscape"/>
          <w:pgMar w:top="1440" w:right="1800" w:bottom="1440" w:left="1800" w:header="720" w:footer="720" w:gutter="0"/>
          <w:cols w:space="720"/>
          <w:docGrid w:linePitch="360"/>
        </w:sectPr>
      </w:pPr>
      <w:r>
        <w:rPr>
          <w:i/>
          <w:color w:val="888888"/>
          <w:sz w:val="18"/>
        </w:rPr>
        <w:t>[Codes de sexe : X (52 individus) et – (17) désignent des individus non sexés ; selon André (2026-10-06), l'une des deux catégories regroupe des juvéniles, l'autre des individus dont le sexe n'a pas été attribué — laquelle est laquelle : [À CONFIRMER]. Table insérée le 2026-10-03 sur décision de JF (question 2.9) ; les tables suivantes sont renumérotées S3 à S10.]</w:t>
      </w:r>
    </w:p>
    <w:p>
      <w:pPr>
        <w:pStyle w:val="Heading1"/>
      </w:pPr>
      <w:r>
        <w:t>Table S</w:t>
      </w:r>
      <w:r>
        <w:rPr>
          <w:color w:val="1F4E79"/>
        </w:rPr>
        <w:t>3</w:t>
      </w:r>
      <w:r>
        <w:t>.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§3 and §8.8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Pr>
        <w:pStyle w:val="Heading1"/>
      </w:pPr>
      <w:r>
        <w:rPr>
          <w:color w:val="1F4E79"/>
        </w:rPr>
        <w:t>Note S2. Sequence processing, quality control and repeated rarefaction</w:t>
      </w:r>
    </w:p>
    <w:p>
      <w:pPr/>
      <w:r>
        <w:rPr>
          <w:color w:val="1F4E79"/>
        </w:rPr>
        <w:t>This note gives in full the parameters and controls summarised in Materials and Methods §4–§9 of the main text; the paragraphs are those of an earlier, longer version of the Methods, moved here unchanged except for cross-references. Reference numbers refer to the main-text reference list.</w:t>
      </w:r>
    </w:p>
    <w:p>
      <w:pPr/>
      <w:r>
        <w:rPr>
          <w:b/>
          <w:color w:val="1F4E79"/>
        </w:rPr>
        <w:t xml:space="preserve">Library preparation and sequencing. </w:t>
      </w:r>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using the dual-index method of Kozich et al. [32], with forward and reverse primers carrying an 8 bp index and Illumina adapters (Caporaso primers 515F GTGCCAGCMGCCGCGGTAA / 806R GGACTACHVGGGTWTCTAAT). DNA amplification, purification and pooling of PCR products followed Galan et al. [33]. The final library was quantified with the Kapa quantification kit (Kapa Biosystems) and loaded on an Illumina MiSeq flow cell with reagent kit v3 (600 cycles), run as 2 × 251 bp paired-end reads with two 8 bp index reads (518 of the 600 cycles).</w:t>
      </w:r>
    </w:p>
    <w:p>
      <w:pPr/>
      <w:r>
        <w:rPr>
          <w:b/>
          <w:color w:val="1F4E79"/>
        </w:rPr>
        <w:t xml:space="preserve">Replication structure. </w:t>
      </w:r>
      <w:r>
        <w:rPr>
          <w:color w:val="1F4E79"/>
        </w:rPr>
        <w:t>For the present study the 768 samples were processed through two independent library preparations, each using the one-step dual-index PCR of Kozich et al. [32],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(Table S3).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pPr/>
      <w:r>
        <w:rPr>
          <w:b/>
          <w:color w:val="1F4E79"/>
        </w:rPr>
        <w:t xml:space="preserve">Controls. </w:t>
      </w:r>
      <w:r>
        <w:rPr>
          <w:color w:val="1F4E79"/>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25 empty wells received no library and were sequenced in all three runs — 75 empty-well samples — to monitor index hopping between libraries.</w:t>
      </w:r>
    </w:p>
    <w:p>
      <w:pPr/>
      <w:r>
        <w:rPr>
          <w:b/>
          <w:color w:val="1F4E79"/>
        </w:rPr>
        <w:t xml:space="preserve">Pipeline. </w:t>
      </w:r>
      <w:r>
        <w:rPr>
          <w:color w:val="1F4E79"/>
        </w:rPr>
        <w:t>Reads were processed with a custom, version-controlled pipeline (git-tracked; each parameter justified in the script headers). The three runs were processed separately through denoising and merged thereafter. Software versions: cutadapt 5.0 [34]; R 4.5.3 with DADA2 1.38.0 [35]; SILVA reference v138.2 [36] (DADA2 formatted, Zenodo 14169026); BLAST+ 2.13.0; FastQC and MultiQC for quality control. The 16S V4 primers, being also the sequencing primers (Schloss dual-index protocol), are not present in the reads; no 5′ primer trimming was therefore applied.</w:t>
      </w:r>
    </w:p>
    <w:p>
      <w:pPr/>
      <w:r>
        <w:rPr>
          <w:b/>
          <w:color w:val="1F4E79"/>
        </w:rPr>
        <w:t xml:space="preserve">Quality control. </w:t>
      </w:r>
      <w:r>
        <w:rPr>
          <w:color w:val="1F4E79"/>
        </w:rPr>
        <w:t>Per-run read quality was assessed with FastQC and aggregated with MultiQC.</w:t>
      </w:r>
    </w:p>
    <w:p>
      <w:pPr/>
      <w:r>
        <w:rPr>
          <w:b/>
          <w:color w:val="1F4E79"/>
        </w:rPr>
        <w:t xml:space="preserve">Removal of co-amplified host 12S rRNA. </w:t>
      </w:r>
      <w:r>
        <w:rPr>
          <w:color w:val="1F4E79"/>
        </w:rPr>
        <w:t xml:space="preserve">The 16S V4 primers co-amplify the host mitochondrial 12S rRNA gene </w:t>
      </w:r>
      <w:r>
        <w:rPr>
          <w:color w:val="1F4E79"/>
        </w:rPr>
        <w:t>(host 12S and primer dimers: 14–15 % of reads per run; median 12 % per biological sample, range 0–99 %)</w:t>
      </w:r>
      <w:r>
        <w:rPr>
          <w:color w:val="1F4E79"/>
        </w:rPr>
        <w:t>.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r>
        <w:rPr>
          <w:b/>
          <w:color w:val="1F4E79"/>
        </w:rPr>
        <w:t xml:space="preserve">ASV inference (DADA2, per run). </w:t>
      </w:r>
      <w:r>
        <w:rPr>
          <w:color w:val="1F4E79"/>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r>
        <w:rPr>
          <w:b/>
          <w:color w:val="1F4E79"/>
        </w:rPr>
        <w:t xml:space="preserve">Table merging, chimera removal and taxonomy. </w:t>
      </w:r>
      <w:r>
        <w:rPr>
          <w:color w:val="1F4E79"/>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r>
        <w:rPr>
          <w:b/>
          <w:color w:val="1F4E79"/>
        </w:rPr>
        <w:t xml:space="preserve">Non-target filtering. </w:t>
      </w:r>
      <w:r>
        <w:rPr>
          <w:color w:val="1F4E79"/>
        </w:rPr>
        <w:t>ASVs assigned to Eukaryota or unassigned at the domain level, to Chloroplast (Order) or to Mitochondria (Family) were removed; the mitochondrial ASVs correspond to residual full-length host 12S captured by the taxonomic safety net.</w:t>
      </w:r>
    </w:p>
    <w:p>
      <w:pPr/>
      <w:r>
        <w:rPr>
          <w:b/>
          <w:color w:val="1F4E79"/>
        </w:rPr>
        <w:t xml:space="preserve">Resulting dataset. </w:t>
      </w:r>
      <w:r>
        <w:rPr>
          <w:color w:val="1F4E79"/>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r>
        <w:rPr>
          <w:b/>
          <w:color w:val="1F4E79"/>
        </w:rPr>
        <w:t xml:space="preserve">Mock community. </w:t>
      </w:r>
      <w:r>
        <w:rPr>
          <w:color w:val="1F4E79"/>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w:t>
      </w:r>
      <w:r>
        <w:rPr>
          <w:i/>
          <w:color w:val="1F4E79"/>
        </w:rPr>
        <w:t>Escherichia coli</w:t>
      </w:r>
      <w:r>
        <w:rPr>
          <w:color w:val="1F4E79"/>
        </w:rPr>
        <w:t xml:space="preserve"> and </w:t>
      </w:r>
      <w:r>
        <w:rPr>
          <w:i/>
          <w:color w:val="1F4E79"/>
        </w:rPr>
        <w:t>Salmonella enterica</w:t>
      </w:r>
      <w:r>
        <w:rPr>
          <w:color w:val="1F4E79"/>
        </w:rPr>
        <w:t xml:space="preserve"> each contributed a second divergent ASV at ~99.6%, consistent with their multiple non-identical 16S operons.)</w:t>
      </w:r>
    </w:p>
    <w:p>
      <w:pPr/>
      <w:r>
        <w:rPr>
          <w:color w:val="1F4E79"/>
        </w:rPr>
        <w:t xml:space="preserve">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w:t>
      </w:r>
      <w:r>
        <w:rPr>
          <w:i/>
          <w:color w:val="1F4E79"/>
        </w:rPr>
        <w:t>Enterococcus faecalis</w:t>
      </w:r>
      <w:r>
        <w:rPr>
          <w:color w:val="1F4E79"/>
        </w:rPr>
        <w:t xml:space="preserve"> and </w:t>
      </w:r>
      <w:r>
        <w:rPr>
          <w:i/>
          <w:color w:val="1F4E79"/>
        </w:rPr>
        <w:t>Staphylococcus aureus</w:t>
      </w:r>
      <w:r>
        <w:rPr>
          <w:color w:val="1F4E79"/>
        </w:rPr>
        <w:t>, whose full-length 16S differ between lots — so the mock ASVs match either reference equally and the recovery of 8/8 expected species is independent of the lot assignment.</w:t>
      </w:r>
    </w:p>
    <w:p>
      <w:pPr/>
      <w:r>
        <w:rPr>
          <w:b/>
          <w:color w:val="1F4E79"/>
        </w:rPr>
        <w:t xml:space="preserve">Decontamination. </w:t>
      </w:r>
      <w:r>
        <w:rPr>
          <w:color w:val="1F4E79"/>
        </w:rPr>
        <w:t>Reagent and laboratory contaminants were identified with decontam v1.30.0 [37]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removed 2.13 % of reads in total, 1.89 points more than the retained threshold, including ASVs carrying genuine biological signal — most notably a Candidatus Branchiomonas ASV that was prevalent in gill and external tissues and essentially absent from negative controls — and was therefore rejected.</w:t>
      </w:r>
    </w:p>
    <w:p>
      <w:pPr/>
      <w:r>
        <w:rPr>
          <w:b/>
          <w:color w:val="1F4E79"/>
        </w:rPr>
        <w:t xml:space="preserve">Index hopping. </w:t>
      </w:r>
      <w:r>
        <w:rPr>
          <w:color w:val="1F4E79"/>
        </w:rPr>
        <w:t>Cross-talk between libraries (index hopping) was quantified using the 25 empty wells, which received no library and in which any read therefore represents leakage; across the three runs they give 75 empty-well samples, of which 67 retained at least one read after filtering and 8 none. Across all empty wells these accumulated 41 reads out of 26.8 million (0.0002 %; median 0 reads per well, maximum 13), indicating negligible index hopping. No background-noise subtraction was applied on this basis.</w:t>
      </w:r>
    </w:p>
    <w:p>
      <w:pPr/>
      <w:r>
        <w:rPr>
          <w:b/>
          <w:color w:val="1F4E79"/>
        </w:rPr>
        <w:t xml:space="preserve">Mock-derived sample-level artefacts. </w:t>
      </w:r>
      <w:r>
        <w:rPr>
          <w:color w:val="1F4E79"/>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r>
        <w:rPr>
          <w:b/>
          <w:color w:val="1F4E79"/>
        </w:rPr>
        <w:t xml:space="preserve">Phylogenetic tree. </w:t>
      </w:r>
      <w:r>
        <w:rPr>
          <w:color w:val="1F4E79"/>
        </w:rPr>
        <w:t>A de novo phylogeny was built from the ASV sequences with QIIME 2 [38] (align-to-tree-mafft-fasttree): multiple alignment with MAFFT [39], masking of highly variable positions, tree inference with FastTree 2 [40], and midpoint rooting. Fragment insertion into a reference backbone (SEPP) was not used because the ASVs are near-complete V4 amplicons (~251 bp) for which de novo alignment is appropriate. The resulting rooted tree covers all ASVs of the analysis table and supports UniFrac distances [41] and Faith's phylogenetic diversity [42].</w:t>
      </w:r>
    </w:p>
    <w:p>
      <w:pPr/>
      <w:r>
        <w:rPr>
          <w:b/>
          <w:color w:val="1F4E79"/>
        </w:rPr>
        <w:t xml:space="preserve">Choice of rarefaction depth. </w:t>
      </w:r>
      <w:r>
        <w:rPr>
          <w:color w:val="1F4E79"/>
        </w:rPr>
        <w:t>Uneven sequencing effort was controlled by rarefaction, currently the most robust approach for alpha- and beta-diversity metrics [43].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b/>
          <w:color w:val="1F4E79"/>
        </w:rPr>
        <w:t xml:space="preserve">Repeated rarefaction. </w:t>
      </w:r>
      <w:r>
        <w:rPr>
          <w:color w:val="1F4E79"/>
        </w:rPr>
        <w:t>Rarefaction was applied repeatedly rather than as a single draw [44].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b/>
          <w:color w:val="1F4E79"/>
        </w:rPr>
        <w:t xml:space="preserve">Monte-Carlo error. </w:t>
      </w:r>
      <w:r>
        <w:rPr>
          <w:color w:val="1F4E79"/>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the main-text Results,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(main text, Results). Convergence values are given in Table S5.</w:t>
      </w:r>
    </w:p>
    <w:p>
      <w:pPr/>
      <w:r>
        <w:rPr>
          <w:color w:val="1F4E79"/>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b/>
          <w:color w:val="1F4E79"/>
        </w:rPr>
        <w:t xml:space="preserve">Phylogenetic metrics. </w:t>
      </w:r>
      <w:r>
        <w:rPr>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b/>
          <w:color w:val="1F4E79"/>
        </w:rPr>
        <w:t xml:space="preserve">Depth and sample selection. </w:t>
      </w:r>
      <w:r>
        <w:rPr>
          <w:color w:val="1F4E79"/>
        </w:rPr>
        <w:t xml:space="preserve">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w:t>
      </w:r>
      <w:r>
        <w:rPr>
          <w:color w:val="1F4E79"/>
        </w:rPr>
        <w:t>in the caudal fin, across the three sequencing runs, 50 % of intermediate hybrids</w:t>
      </w:r>
      <w:r>
        <w:rPr>
          <w:color w:val="1F4E79"/>
        </w:rPr>
        <w:t xml:space="preserve"> passed the threshold against 79–86 % of </w:t>
      </w:r>
      <w:r>
        <w:rPr>
          <w:i/>
          <w:color w:val="1F4E79"/>
        </w:rPr>
        <w:t>P. toxostoma</w:t>
      </w:r>
      <w:r>
        <w:rPr>
          <w:color w:val="1F4E79"/>
        </w:rPr>
        <w:t xml:space="preserve"> (pass 1), and 64–67 % of all 42 hybrids (pass 2), a gap of 29–36 and 15–20 points respectively, and of 20–48 and 7–36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2.6–3.8 points (pass 1) and 3.4–5.7 points (pass 2) and 2,067 samples are retained (1,825 in pass 1); claims resting on presence-based metrics are reported at 3,000 reads with the selection declared, since they cannot be tested at 500 and the midgut gap (5.7–14.0 and 7.8–8.9 points) persists there in any case. Table S6 and Figure S1.</w:t>
      </w:r>
    </w:p>
    <w:p>
      <w:pPr/>
      <w:r>
        <w:rPr>
          <w:b/>
          <w:color w:val="1F4E79"/>
        </w:rPr>
        <w:t xml:space="preserve">ENA submission. </w:t>
      </w:r>
      <w:r>
        <w:rPr>
          <w:color w:val="1F4E79"/>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Materials and Methods §8.8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(Materials and Methods §8.2) are likewise deposited. Per-run accessions, file names and MD5 checksums for all 4,608 files are given in Table S7.</w:t>
      </w:r>
    </w:p>
    <w:p>
      <w:pPr/>
      <w:r>
        <w:rPr>
          <w:b/>
          <w:color w:val="1F4E79"/>
        </w:rPr>
        <w:t xml:space="preserve">ENA metadata corrections. </w:t>
      </w:r>
      <w:r>
        <w:rPr>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 A second correction, on 2026-09-25, aligned host identity on the 25-chromosome genotyping: sample title, host scientific name and host common name were updated for 568 samples (1,199 fields), hybrids being recorded as nasus x toxostoma. It was then verified against the archive itself: 727 samples queried, 1,199 fields conforming, none discrepant. Neither correction altered a sample accession, an alias or a sequence file.</w:t>
      </w:r>
    </w:p>
    <w:p>
      <w:pPr/>
      <w:r>
        <w:rPr>
          <w:color w:val="1F4E79"/>
        </w:rPr>
        <w:t>Metadata completeness. Sampling-site coordinates and environmental context terms were obtained from the field records and are reported per site in Table S1. Collection dates are given at day resolution for every station except Pertuis, where the two 2014 fishing campaigns are deposited as the interval 2014-07-07/2014-08-20.</w:t>
      </w:r>
    </w:p>
    <w:p/>
    <w:p>
      <w:pPr>
        <w:pStyle w:val="Heading1"/>
      </w:pPr>
      <w:r>
        <w:t>Table S</w:t>
      </w:r>
      <w:r>
        <w:rPr>
          <w:color w:val="1F4E79"/>
        </w:rPr>
        <w:t>4</w:t>
      </w:r>
      <w:r>
        <w:t>.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rPr>
          <w:b/>
        </w:rPr>
        <w:t>Table S</w:t>
      </w:r>
      <w:r>
        <w:rPr>
          <w:b/>
          <w:color w:val="1F4E79"/>
        </w:rPr>
        <w:t>5</w:t>
      </w:r>
      <w:r>
        <w:rPr>
          <w:b/>
        </w:rPr>
        <w:t>.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the main-text Results;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pPr>
        <w:pStyle w:val="Heading1"/>
      </w:pPr>
      <w:r>
        <w:rPr>
          <w:b/>
        </w:rPr>
        <w:t>Table S</w:t>
      </w:r>
      <w:r>
        <w:rPr>
          <w:b/>
          <w:color w:val="1F4E79"/>
        </w:rPr>
        <w:t>6</w:t>
      </w:r>
      <w:r>
        <w:rPr>
          <w:b/>
        </w:rPr>
        <w:t>.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t>Retention gap Pt−Hy, caudal fin (pts), pass 1 / pass 2, range across runs</w:t>
            </w:r>
            <w:r>
              <w:rPr>
                <w:b/>
                <w:sz w:val="16"/>
              </w:rPr>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t>2.6–3.8 / 3.4–5.7</w:t>
            </w:r>
            <w:r>
              <w:rPr>
                <w:sz w:val="16"/>
              </w:rPr>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t>2.6–7.6 / 4.5–9.3</w:t>
            </w:r>
            <w:r>
              <w:rPr>
                <w:sz w:val="16"/>
              </w:rPr>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t>7.6–27.6 / 9.3–18.8</w:t>
            </w:r>
            <w:r>
              <w:rPr>
                <w:sz w:val="16"/>
              </w:rPr>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t>13.9–31.4 / 10.3–19.9</w:t>
            </w:r>
            <w:r>
              <w:rPr>
                <w:sz w:val="16"/>
              </w:rPr>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t>28.9–32.7 / 17.5–19.8</w:t>
            </w:r>
            <w:r>
              <w:rPr>
                <w:sz w:val="16"/>
              </w:rPr>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in pass 1 / pass 2, given as the range across the three sequencing runs; at 3,000 reads it is 29.0–36.4 / 14.7–19.8 points. The correlation columns do not depend on category. Bray–Curtis was measured with vegan::vegdist and validated against the archived 400-draw matrix (r = 0.99983).</w:t>
      </w:r>
    </w:p>
    <w:p/>
    <w:p>
      <w:r>
        <w:drawing>
          <wp:inline xmlns:a="http://schemas.openxmlformats.org/drawingml/2006/main" xmlns:pic="http://schemas.openxmlformats.org/drawingml/2006/picture">
            <wp:extent cx="5486400" cy="392867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486400" cy="3928674"/>
                    </a:xfrm>
                    <a:prstGeom prst="rect"/>
                  </pic:spPr>
                </pic:pic>
              </a:graphicData>
            </a:graphic>
          </wp:inline>
        </w:drawing>
      </w:r>
    </w:p>
    <w:p>
      <w:r>
        <w:rPr>
          <w:b/>
        </w:rPr>
        <w:t>Figure S1.</w:t>
      </w:r>
      <w:r>
        <w:rPr>
          <w:color w:val="1F4E79"/>
        </w:rPr>
        <w:t xml:space="preserve"> Trade-off between rarefaction depth, metric fidelity and selection bias. (a) Pearson correlation between the dissimilarity matrices computed at each depth and at 3,000 reads, on the fixed set of 1,784 samples retained at 3,000 reads, so that only depth varies. (b) Loss of observed richness relative to 3,000 reads, same samples. (c, d) Retention gap: percentage of </w:t>
      </w:r>
      <w:r>
        <w:rPr>
          <w:i/>
          <w:color w:val="1F4E79"/>
        </w:rPr>
        <w:t>P. toxostoma</w:t>
      </w:r>
      <w:r>
        <w:rPr>
          <w:color w:val="1F4E79"/>
        </w:rPr>
        <w:t xml:space="preserve"> samples minus percentage of hybrid samples reaching each depth, in the caudal fin (c) and the midgut (d), for pass 1 (20 intermediate hybrids) and pass 2 (all 42 hybrids). Lines: sequencing run durance1; shaded bands: range across the three runs (quoted in Materials and Methods §8.6).</w:t>
      </w:r>
      <w:r>
        <w:rPr>
          <w:i/>
          <w:color w:val="888888"/>
          <w:sz w:val="18"/>
        </w:rPr>
        <w:t xml:space="preserve"> [Figure régénérée le 2026-10-05 (ex-Figure S2) : l'ancienne version était en français et son panneau b portait des valeurs recopiées d'une trace antérieure à la reclassification de septembre (30,4 points à 3 000 lectures contre 36,4 recalculés) ; panneaux c et d calculés par scripts/43-retention_profondeur.py.]</w:t>
      </w:r>
    </w:p>
    <w:p/>
    <w:p>
      <w:pPr>
        <w:pStyle w:val="Heading1"/>
      </w:pPr>
      <w:r>
        <w:t>Table S</w:t>
      </w:r>
      <w:r>
        <w:rPr>
          <w:color w:val="1F4E79"/>
        </w:rPr>
        <w:t>7</w:t>
      </w:r>
      <w:r>
        <w:t>.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rPr>
          <w:b/>
        </w:rPr>
        <w:t>Table S</w:t>
      </w:r>
      <w:r>
        <w:rPr>
          <w:b/>
          <w:color w:val="1F4E79"/>
        </w:rPr>
        <w:t>8</w:t>
      </w:r>
      <w:r>
        <w:rPr>
          <w:b/>
        </w:rPr>
        <w:t>.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 (pass 1 / pass 2)</w:t>
            </w:r>
          </w:p>
        </w:tc>
        <w:tc>
          <w:tcPr>
            <w:tcW w:type="dxa" w:w="1234"/>
          </w:tcPr>
          <w:p>
            <w:r/>
            <w:r>
              <w:rPr>
                <w:b/>
                <w:sz w:val="16"/>
              </w:rPr>
              <w:t>R²/(df/(n−1)) (pass 1 / pass 2)</w:t>
            </w:r>
          </w:p>
        </w:tc>
        <w:tc>
          <w:tcPr>
            <w:tcW w:type="dxa" w:w="1234"/>
          </w:tcPr>
          <w:p>
            <w:r/>
            <w:r>
              <w:rPr>
                <w:b/>
                <w:sz w:val="16"/>
              </w:rPr>
              <w:t>Strata with p&lt;0.05 (pass 1 / pass 2)</w:t>
            </w:r>
          </w:p>
        </w:tc>
        <w:tc>
          <w:tcPr>
            <w:tcW w:type="dxa" w:w="1234"/>
          </w:tcPr>
          <w:p>
            <w:r/>
            <w:r>
              <w:rPr>
                <w:b/>
                <w:sz w:val="16"/>
              </w:rPr>
              <w:t>Max p (pass 1 / pass 2)</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0.152 / 0.141</w:t>
            </w:r>
          </w:p>
        </w:tc>
        <w:tc>
          <w:tcPr>
            <w:tcW w:type="dxa" w:w="1234"/>
          </w:tcPr>
          <w:p>
            <w:r/>
            <w:r>
              <w:rPr>
                <w:sz w:val="16"/>
              </w:rPr>
              <w:t>1.84 / 1.95</w:t>
            </w:r>
          </w:p>
        </w:tc>
        <w:tc>
          <w:tcPr>
            <w:tcW w:type="dxa" w:w="1234"/>
          </w:tcPr>
          <w:p>
            <w:r/>
            <w:r>
              <w:rPr>
                <w:sz w:val="16"/>
              </w:rPr>
              <w:t>24/24 / 24/24</w:t>
            </w:r>
          </w:p>
        </w:tc>
        <w:tc>
          <w:tcPr>
            <w:tcW w:type="dxa" w:w="1234"/>
          </w:tcPr>
          <w:p>
            <w:r/>
            <w:r>
              <w:rPr>
                <w:sz w:val="16"/>
              </w:rPr>
              <w:t>≤ 0.033 / ≤ 0.007</w:t>
            </w:r>
          </w:p>
        </w:tc>
      </w:tr>
      <w:tr>
        <w:tc>
          <w:tcPr>
            <w:tcW w:type="dxa" w:w="1234"/>
          </w:tcPr>
          <w:p>
            <w:r/>
            <w:r>
              <w:rPr>
                <w:sz w:val="16"/>
              </w:rPr>
              <w:t>Genotypic category, after column</w:t>
            </w:r>
          </w:p>
        </w:tc>
        <w:tc>
          <w:tcPr>
            <w:tcW w:type="dxa" w:w="1234"/>
          </w:tcPr>
          <w:p>
            <w:r/>
            <w:r>
              <w:rPr>
                <w:sz w:val="16"/>
              </w:rPr>
              <w:t>col + cat ~ site blocks</w:t>
            </w:r>
          </w:p>
        </w:tc>
        <w:tc>
          <w:tcPr>
            <w:tcW w:type="dxa" w:w="1234"/>
          </w:tcPr>
          <w:p>
            <w:r/>
            <w:r>
              <w:rPr>
                <w:sz w:val="16"/>
              </w:rPr>
              <w:t>2</w:t>
            </w:r>
          </w:p>
        </w:tc>
        <w:tc>
          <w:tcPr>
            <w:tcW w:type="dxa" w:w="1234"/>
          </w:tcPr>
          <w:p>
            <w:r/>
            <w:r>
              <w:rPr>
                <w:sz w:val="16"/>
              </w:rPr>
              <w:t>0.026 / 0.024</w:t>
            </w:r>
          </w:p>
        </w:tc>
        <w:tc>
          <w:tcPr>
            <w:tcW w:type="dxa" w:w="1234"/>
          </w:tcPr>
          <w:p>
            <w:r/>
            <w:r>
              <w:rPr>
                <w:sz w:val="16"/>
              </w:rPr>
              <w:t>1.61 / 1.77</w:t>
            </w:r>
          </w:p>
        </w:tc>
        <w:tc>
          <w:tcPr>
            <w:tcW w:type="dxa" w:w="1234"/>
          </w:tcPr>
          <w:p>
            <w:r/>
            <w:r>
              <w:rPr>
                <w:sz w:val="16"/>
              </w:rPr>
              <w:t>19/24 / 18/24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0.204 / 0.196</w:t>
            </w:r>
          </w:p>
        </w:tc>
        <w:tc>
          <w:tcPr>
            <w:tcW w:type="dxa" w:w="1234"/>
          </w:tcPr>
          <w:p>
            <w:r/>
            <w:r>
              <w:rPr>
                <w:sz w:val="16"/>
              </w:rPr>
              <w:t>3.32 / 3.69</w:t>
            </w:r>
          </w:p>
        </w:tc>
        <w:tc>
          <w:tcPr>
            <w:tcW w:type="dxa" w:w="1234"/>
          </w:tcPr>
          <w:p>
            <w:r/>
            <w:r>
              <w:rPr>
                <w:sz w:val="16"/>
              </w:rPr>
              <w:t>—</w:t>
            </w:r>
          </w:p>
        </w:tc>
        <w:tc>
          <w:tcPr>
            <w:tcW w:type="dxa" w:w="1234"/>
          </w:tcPr>
          <w:p>
            <w:r/>
            <w:r>
              <w:rPr>
                <w:sz w:val="16"/>
              </w:rPr>
              <w:t>—</w:t>
            </w:r>
          </w:p>
        </w:tc>
      </w:tr>
      <w:tr>
        <w:tc>
          <w:tcPr>
            <w:tcW w:type="dxa" w:w="1234"/>
          </w:tcPr>
          <w:p>
            <w:r/>
            <w:r>
              <w:rPr>
                <w:sz w:val="16"/>
              </w:rPr>
              <w:t>Plate column, P. toxostoma only</w:t>
            </w:r>
          </w:p>
        </w:tc>
        <w:tc>
          <w:tcPr>
            <w:tcW w:type="dxa" w:w="1234"/>
          </w:tcPr>
          <w:p>
            <w:r/>
            <w:r>
              <w:rPr>
                <w:sz w:val="16"/>
              </w:rPr>
              <w:t>col ~ site blocks</w:t>
            </w:r>
          </w:p>
        </w:tc>
        <w:tc>
          <w:tcPr>
            <w:tcW w:type="dxa" w:w="1234"/>
          </w:tcPr>
          <w:p>
            <w:r/>
            <w:r>
              <w:rPr>
                <w:sz w:val="16"/>
              </w:rPr>
              <w:t>8–9</w:t>
            </w:r>
          </w:p>
        </w:tc>
        <w:tc>
          <w:tcPr>
            <w:tcW w:type="dxa" w:w="1234"/>
          </w:tcPr>
          <w:p>
            <w:r/>
            <w:r>
              <w:rPr>
                <w:sz w:val="16"/>
              </w:rPr>
              <w:t>0.227 / 0.227</w:t>
            </w:r>
          </w:p>
        </w:tc>
        <w:tc>
          <w:tcPr>
            <w:tcW w:type="dxa" w:w="1234"/>
          </w:tcPr>
          <w:p>
            <w:r/>
            <w:r>
              <w:rPr>
                <w:sz w:val="16"/>
              </w:rPr>
              <w:t>1.65 / 1.65</w:t>
            </w:r>
          </w:p>
        </w:tc>
        <w:tc>
          <w:tcPr>
            <w:tcW w:type="dxa" w:w="1234"/>
          </w:tcPr>
          <w:p>
            <w:r/>
            <w:r>
              <w:rPr>
                <w:sz w:val="16"/>
              </w:rPr>
              <w:t>17/24 / 17/24</w:t>
            </w:r>
          </w:p>
        </w:tc>
        <w:tc>
          <w:tcPr>
            <w:tcW w:type="dxa" w:w="1234"/>
          </w:tcPr>
          <w:p>
            <w:r/>
            <w:r>
              <w:rPr>
                <w:sz w:val="16"/>
              </w:rPr>
              <w:t>—</w:t>
            </w:r>
          </w:p>
        </w:tc>
      </w:tr>
      <w:tr>
        <w:tc>
          <w:tcPr>
            <w:tcW w:type="dxa" w:w="1234"/>
          </w:tcPr>
          <w:p>
            <w:r/>
            <w:r>
              <w:rPr>
                <w:sz w:val="16"/>
              </w:rPr>
              <w:t>Plate column, C. nasus only</w:t>
            </w:r>
          </w:p>
        </w:tc>
        <w:tc>
          <w:tcPr>
            <w:tcW w:type="dxa" w:w="1234"/>
          </w:tcPr>
          <w:p>
            <w:r/>
            <w:r>
              <w:rPr>
                <w:sz w:val="16"/>
              </w:rPr>
              <w:t>col ~ site blocks</w:t>
            </w:r>
          </w:p>
        </w:tc>
        <w:tc>
          <w:tcPr>
            <w:tcW w:type="dxa" w:w="1234"/>
          </w:tcPr>
          <w:p>
            <w:r/>
            <w:r>
              <w:rPr>
                <w:sz w:val="16"/>
              </w:rPr>
              <w:t>5–7</w:t>
            </w:r>
          </w:p>
        </w:tc>
        <w:tc>
          <w:tcPr>
            <w:tcW w:type="dxa" w:w="1234"/>
          </w:tcPr>
          <w:p>
            <w:r/>
            <w:r>
              <w:rPr>
                <w:sz w:val="16"/>
              </w:rPr>
              <w:t>0.221 / 0.221</w:t>
            </w:r>
          </w:p>
        </w:tc>
        <w:tc>
          <w:tcPr>
            <w:tcW w:type="dxa" w:w="1234"/>
          </w:tcPr>
          <w:p>
            <w:r/>
            <w:r>
              <w:rPr>
                <w:sz w:val="16"/>
              </w:rPr>
              <w:t>1.63 / 1.63</w:t>
            </w:r>
          </w:p>
        </w:tc>
        <w:tc>
          <w:tcPr>
            <w:tcW w:type="dxa" w:w="1234"/>
          </w:tcPr>
          <w:p>
            <w:r/>
            <w:r>
              <w:rPr>
                <w:sz w:val="16"/>
              </w:rPr>
              <w:t>6/24 / 7/24</w:t>
            </w:r>
          </w:p>
        </w:tc>
        <w:tc>
          <w:tcPr>
            <w:tcW w:type="dxa" w:w="1234"/>
          </w:tcPr>
          <w:p>
            <w:r/>
            <w:r>
              <w:rPr>
                <w:sz w:val="16"/>
              </w:rPr>
              <w:t>—</w:t>
            </w:r>
          </w:p>
        </w:tc>
      </w:tr>
      <w:tr>
        <w:tc>
          <w:tcPr>
            <w:tcW w:type="dxa" w:w="1234"/>
          </w:tcPr>
          <w:p>
            <w:r/>
            <w:r>
              <w:rPr>
                <w:sz w:val="16"/>
              </w:rPr>
              <w:t>Plate column, hybrids only</w:t>
            </w:r>
          </w:p>
        </w:tc>
        <w:tc>
          <w:tcPr>
            <w:tcW w:type="dxa" w:w="1234"/>
          </w:tcPr>
          <w:p>
            <w:r/>
            <w:r>
              <w:rPr>
                <w:sz w:val="16"/>
              </w:rPr>
              <w:t>col ~ site blocks</w:t>
            </w:r>
          </w:p>
        </w:tc>
        <w:tc>
          <w:tcPr>
            <w:tcW w:type="dxa" w:w="1234"/>
          </w:tcPr>
          <w:p>
            <w:r/>
            <w:r>
              <w:rPr>
                <w:sz w:val="16"/>
              </w:rPr>
              <w:t>7</w:t>
            </w:r>
          </w:p>
        </w:tc>
        <w:tc>
          <w:tcPr>
            <w:tcW w:type="dxa" w:w="1234"/>
          </w:tcPr>
          <w:p>
            <w:r/>
            <w:r>
              <w:rPr>
                <w:sz w:val="16"/>
              </w:rPr>
              <w:t>n.t. / 0.310</w:t>
            </w:r>
          </w:p>
        </w:tc>
        <w:tc>
          <w:tcPr>
            <w:tcW w:type="dxa" w:w="1234"/>
          </w:tcPr>
          <w:p>
            <w:r/>
            <w:r>
              <w:rPr>
                <w:sz w:val="16"/>
              </w:rPr>
              <w:t>n.t. / 1.37</w:t>
            </w:r>
          </w:p>
        </w:tc>
        <w:tc>
          <w:tcPr>
            <w:tcW w:type="dxa" w:w="1234"/>
          </w:tcPr>
          <w:p>
            <w:r/>
            <w:r>
              <w:rPr>
                <w:sz w:val="16"/>
              </w:rPr>
              <w:t>n.t. / 1/2</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cat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 / 22/24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7/24 / 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 / 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Each cell gives pass 1 / pass 2 (main text §1). Because terms differ in degrees of freedom, effect sizes are also given relative to their expectation under the null, df/(n−1). Within-category rows test column inside a single genotypic category, where a column effect cannot be a category effect; df vary with the number of columns occupied (n.t.: not testable, fewer than 30 samples). They replace an earlier witness on single-category site codes, which rested on individuals unresolved by morphology: under genotyping, no site code carries a single category. The plate-column rows do not depend on category labels and differ between passes only through the 22 individuals excluded from pass 1.</w:t>
      </w:r>
    </w:p>
    <w:p/>
    <w:p>
      <w:pPr>
        <w:pStyle w:val="Heading1"/>
      </w:pPr>
      <w:r>
        <w:rPr>
          <w:b/>
        </w:rPr>
        <w:t>Table S</w:t>
      </w:r>
      <w:r>
        <w:rPr>
          <w:b/>
        </w:rPr>
        <w:t>9</w:t>
      </w:r>
      <w:r>
        <w:rPr>
          <w:b/>
        </w:rPr>
        <w:t>. Preliminary variance partition of genotypic category</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Model</w:t>
            </w:r>
          </w:p>
        </w:tc>
        <w:tc>
          <w:tcPr>
            <w:tcW w:type="dxa" w:w="960"/>
          </w:tcPr>
          <w:p>
            <w:r/>
            <w:r>
              <w:rPr>
                <w:b/>
                <w:sz w:val="16"/>
              </w:rPr>
              <w:t>Metric</w:t>
            </w:r>
          </w:p>
        </w:tc>
        <w:tc>
          <w:tcPr>
            <w:tcW w:type="dxa" w:w="960"/>
          </w:tcPr>
          <w:p>
            <w:r/>
            <w:r>
              <w:rPr>
                <w:b/>
                <w:sz w:val="16"/>
              </w:rPr>
              <w:t>Category R² (%), bracket</w:t>
            </w:r>
          </w:p>
        </w:tc>
        <w:tc>
          <w:tcPr>
            <w:tcW w:type="dxa" w:w="960"/>
          </w:tcPr>
          <w:p>
            <w:r/>
            <w:r>
              <w:rPr>
                <w:b/>
                <w:sz w:val="16"/>
              </w:rPr>
              <w:t>Station R² (%)</w:t>
            </w:r>
          </w:p>
        </w:tc>
        <w:tc>
          <w:tcPr>
            <w:tcW w:type="dxa" w:w="960"/>
          </w:tcPr>
          <w:p>
            <w:r/>
            <w:r>
              <w:rPr>
                <w:b/>
                <w:sz w:val="16"/>
              </w:rPr>
              <w:t>Caudal fin</w:t>
            </w:r>
          </w:p>
        </w:tc>
        <w:tc>
          <w:tcPr>
            <w:tcW w:type="dxa" w:w="960"/>
          </w:tcPr>
          <w:p>
            <w:r/>
            <w:r>
              <w:rPr>
                <w:b/>
                <w:sz w:val="16"/>
              </w:rPr>
              <w:t>Gill</w:t>
            </w:r>
          </w:p>
        </w:tc>
        <w:tc>
          <w:tcPr>
            <w:tcW w:type="dxa" w:w="960"/>
          </w:tcPr>
          <w:p>
            <w:r/>
            <w:r>
              <w:rPr>
                <w:b/>
                <w:sz w:val="16"/>
              </w:rPr>
              <w:t>Midgut</w:t>
            </w:r>
          </w:p>
        </w:tc>
        <w:tc>
          <w:tcPr>
            <w:tcW w:type="dxa" w:w="960"/>
          </w:tcPr>
          <w:p>
            <w:r/>
            <w:r>
              <w:rPr>
                <w:b/>
                <w:sz w:val="16"/>
              </w:rPr>
              <w:t>Hindgut</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1.78–3.44</w:t>
            </w:r>
          </w:p>
        </w:tc>
        <w:tc>
          <w:tcPr>
            <w:tcW w:type="dxa" w:w="960"/>
          </w:tcPr>
          <w:p>
            <w:r/>
            <w:r>
              <w:rPr>
                <w:sz w:val="16"/>
              </w:rPr>
              <w:t>25.1</w:t>
            </w:r>
          </w:p>
        </w:tc>
        <w:tc>
          <w:tcPr>
            <w:tcW w:type="dxa" w:w="960"/>
          </w:tcPr>
          <w:p>
            <w:r/>
            <w:r>
              <w:rPr>
                <w:sz w:val="16"/>
              </w:rPr>
              <w:t>1 / 0</w:t>
            </w:r>
          </w:p>
        </w:tc>
        <w:tc>
          <w:tcPr>
            <w:tcW w:type="dxa" w:w="960"/>
          </w:tcPr>
          <w:p>
            <w:r/>
            <w:r>
              <w:rPr>
                <w:sz w:val="16"/>
              </w:rPr>
              <w:t>3 / 3</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Jaccard</w:t>
            </w:r>
          </w:p>
        </w:tc>
        <w:tc>
          <w:tcPr>
            <w:tcW w:type="dxa" w:w="960"/>
          </w:tcPr>
          <w:p>
            <w:r/>
            <w:r>
              <w:rPr>
                <w:sz w:val="16"/>
              </w:rPr>
              <w:t>1.53–2.33</w:t>
            </w:r>
          </w:p>
        </w:tc>
        <w:tc>
          <w:tcPr>
            <w:tcW w:type="dxa" w:w="960"/>
          </w:tcPr>
          <w:p>
            <w:r/>
            <w:r>
              <w:rPr>
                <w:sz w:val="16"/>
              </w:rPr>
              <w:t>15.1</w:t>
            </w:r>
          </w:p>
        </w:tc>
        <w:tc>
          <w:tcPr>
            <w:tcW w:type="dxa" w:w="960"/>
          </w:tcPr>
          <w:p>
            <w:r/>
            <w:r>
              <w:rPr>
                <w:sz w:val="16"/>
              </w:rPr>
              <w:t>0 / 0</w:t>
            </w:r>
          </w:p>
        </w:tc>
        <w:tc>
          <w:tcPr>
            <w:tcW w:type="dxa" w:w="960"/>
          </w:tcPr>
          <w:p>
            <w:r/>
            <w:r>
              <w:rPr>
                <w:sz w:val="16"/>
              </w:rPr>
              <w:t>3 / 2</w:t>
            </w:r>
          </w:p>
        </w:tc>
        <w:tc>
          <w:tcPr>
            <w:tcW w:type="dxa" w:w="960"/>
          </w:tcPr>
          <w:p>
            <w:r/>
            <w:r>
              <w:rPr>
                <w:sz w:val="16"/>
              </w:rPr>
              <w:t>3 / 3</w:t>
            </w:r>
          </w:p>
        </w:tc>
        <w:tc>
          <w:tcPr>
            <w:tcW w:type="dxa" w:w="960"/>
          </w:tcPr>
          <w:p>
            <w:r/>
            <w:r>
              <w:rPr>
                <w:sz w:val="16"/>
              </w:rPr>
              <w:t>0 / 1</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1.60–2.56</w:t>
            </w:r>
          </w:p>
        </w:tc>
        <w:tc>
          <w:tcPr>
            <w:tcW w:type="dxa" w:w="960"/>
          </w:tcPr>
          <w:p>
            <w:r/>
            <w:r>
              <w:rPr>
                <w:sz w:val="16"/>
              </w:rPr>
              <w:t>18.4</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1.81–3.35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2 / 0</w:t>
            </w:r>
          </w:p>
        </w:tc>
        <w:tc>
          <w:tcPr>
            <w:tcW w:type="dxa" w:w="960"/>
          </w:tcPr>
          <w:p>
            <w:r/>
            <w:r>
              <w:rPr>
                <w:sz w:val="16"/>
              </w:rPr>
              <w:t>0 / 0</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1.44–3.65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2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1.41–2.55</w:t>
            </w:r>
          </w:p>
        </w:tc>
        <w:tc>
          <w:tcPr>
            <w:tcW w:type="dxa" w:w="960"/>
          </w:tcPr>
          <w:p>
            <w:r/>
            <w:r>
              <w:rPr>
                <w:sz w:val="16"/>
              </w:rPr>
              <w:t>17.3</w:t>
            </w:r>
          </w:p>
        </w:tc>
        <w:tc>
          <w:tcPr>
            <w:tcW w:type="dxa" w:w="960"/>
          </w:tcPr>
          <w:p>
            <w:r/>
            <w:r>
              <w:rPr>
                <w:sz w:val="16"/>
              </w:rPr>
              <w:t>0 / 1</w:t>
            </w:r>
          </w:p>
        </w:tc>
        <w:tc>
          <w:tcPr>
            <w:tcW w:type="dxa" w:w="960"/>
          </w:tcPr>
          <w:p>
            <w:r/>
            <w:r>
              <w:rPr>
                <w:sz w:val="16"/>
              </w:rPr>
              <w:t>1 / 0</w:t>
            </w:r>
          </w:p>
        </w:tc>
        <w:tc>
          <w:tcPr>
            <w:tcW w:type="dxa" w:w="960"/>
          </w:tcPr>
          <w:p>
            <w:r/>
            <w:r>
              <w:rPr>
                <w:sz w:val="16"/>
              </w:rPr>
              <w:t>2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1.54–3.70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1.68–3.44</w:t>
            </w:r>
          </w:p>
        </w:tc>
        <w:tc>
          <w:tcPr>
            <w:tcW w:type="dxa" w:w="960"/>
          </w:tcPr>
          <w:p>
            <w:r/>
            <w:r>
              <w:rPr>
                <w:sz w:val="16"/>
              </w:rPr>
              <w:t>25.1</w:t>
            </w:r>
          </w:p>
        </w:tc>
        <w:tc>
          <w:tcPr>
            <w:tcW w:type="dxa" w:w="960"/>
          </w:tcPr>
          <w:p>
            <w:r/>
            <w:r>
              <w:rPr>
                <w:sz w:val="16"/>
              </w:rPr>
              <w:t>1 / 0</w:t>
            </w:r>
          </w:p>
        </w:tc>
        <w:tc>
          <w:tcPr>
            <w:tcW w:type="dxa" w:w="960"/>
          </w:tcPr>
          <w:p>
            <w:r/>
            <w:r>
              <w:rPr>
                <w:sz w:val="16"/>
              </w:rPr>
              <w:t>3 / 1</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1.52–2.33</w:t>
            </w:r>
          </w:p>
        </w:tc>
        <w:tc>
          <w:tcPr>
            <w:tcW w:type="dxa" w:w="960"/>
          </w:tcPr>
          <w:p>
            <w:r/>
            <w:r>
              <w:rPr>
                <w:sz w:val="16"/>
              </w:rPr>
              <w:t>15.1</w:t>
            </w:r>
          </w:p>
        </w:tc>
        <w:tc>
          <w:tcPr>
            <w:tcW w:type="dxa" w:w="960"/>
          </w:tcPr>
          <w:p>
            <w:r/>
            <w:r>
              <w:rPr>
                <w:sz w:val="16"/>
              </w:rPr>
              <w:t>0 / 0</w:t>
            </w:r>
          </w:p>
        </w:tc>
        <w:tc>
          <w:tcPr>
            <w:tcW w:type="dxa" w:w="960"/>
          </w:tcPr>
          <w:p>
            <w:r/>
            <w:r>
              <w:rPr>
                <w:sz w:val="16"/>
              </w:rPr>
              <w:t>2 / 3</w:t>
            </w:r>
          </w:p>
        </w:tc>
        <w:tc>
          <w:tcPr>
            <w:tcW w:type="dxa" w:w="960"/>
          </w:tcPr>
          <w:p>
            <w:r/>
            <w:r>
              <w:rPr>
                <w:sz w:val="16"/>
              </w:rPr>
              <w:t>3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1.65–2.56</w:t>
            </w:r>
          </w:p>
        </w:tc>
        <w:tc>
          <w:tcPr>
            <w:tcW w:type="dxa" w:w="960"/>
          </w:tcPr>
          <w:p>
            <w:r/>
            <w:r>
              <w:rPr>
                <w:sz w:val="16"/>
              </w:rPr>
              <w:t>18.4</w:t>
            </w:r>
          </w:p>
        </w:tc>
        <w:tc>
          <w:tcPr>
            <w:tcW w:type="dxa" w:w="960"/>
          </w:tcPr>
          <w:p>
            <w:r/>
            <w:r>
              <w:rPr>
                <w:sz w:val="16"/>
              </w:rPr>
              <w:t>1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1.65–3.35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0 / 0</w:t>
            </w:r>
          </w:p>
        </w:tc>
        <w:tc>
          <w:tcPr>
            <w:tcW w:type="dxa" w:w="960"/>
          </w:tcPr>
          <w:p>
            <w:r/>
            <w:r>
              <w:rPr>
                <w:sz w:val="16"/>
              </w:rPr>
              <w:t>0 / 0</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1.32–3.65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1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3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1.46–2.55</w:t>
            </w:r>
          </w:p>
        </w:tc>
        <w:tc>
          <w:tcPr>
            <w:tcW w:type="dxa" w:w="960"/>
          </w:tcPr>
          <w:p>
            <w:r/>
            <w:r>
              <w:rPr>
                <w:sz w:val="16"/>
              </w:rPr>
              <w:t>17.3</w:t>
            </w:r>
          </w:p>
        </w:tc>
        <w:tc>
          <w:tcPr>
            <w:tcW w:type="dxa" w:w="960"/>
          </w:tcPr>
          <w:p>
            <w:r/>
            <w:r>
              <w:rPr>
                <w:sz w:val="16"/>
              </w:rPr>
              <w:t>0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1.38–3.70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0 / 3</w:t>
            </w:r>
          </w:p>
        </w:tc>
        <w:tc>
          <w:tcPr>
            <w:tcW w:type="dxa" w:w="960"/>
          </w:tcPr>
          <w:p>
            <w:r/>
            <w:r>
              <w:rPr>
                <w:sz w:val="16"/>
              </w:rPr>
              <w:t>0 / 3</w:t>
            </w:r>
          </w:p>
        </w:tc>
      </w:tr>
    </w:tbl>
    <w:p>
      <w:r>
        <w:rPr>
          <w:i/>
          <w:sz w:val="16"/>
        </w:rPr>
        <w:t>R² of genotypic category, bracketed by the two sequential orderings (category fitted last, then first); station R² (median, category-first ordering) is given for scale. Rows are given for both passes (main text §1) and both model versions: principal, without plate position, and sensitivity, with plate column rank as a covariate (§8.7, §8.9). The four right-hand columns give the number of sequencing runs out of three in which category is significant (p&lt;0.05), as sequential test / test with station fixed by permutation blocks. No tissue is detected by all four metrics in both schemes in either pass or model version. The two model versions differ in 7 of 16 cells in each pass. This partition was run to size the terms before the ecological analysis, not as a result of it.</w:t>
      </w:r>
    </w:p>
    <w:p/>
    <w:p>
      <w:r>
        <w:drawing>
          <wp:inline xmlns:a="http://schemas.openxmlformats.org/drawingml/2006/main" xmlns:pic="http://schemas.openxmlformats.org/drawingml/2006/picture">
            <wp:extent cx="5486400" cy="2171635"/>
            <wp:docPr id="4" name="Picture 4"/>
            <wp:cNvGraphicFramePr>
              <a:graphicFrameLocks noChangeAspect="1"/>
            </wp:cNvGraphicFramePr>
            <a:graphic>
              <a:graphicData uri="http://schemas.openxmlformats.org/drawingml/2006/picture">
                <pic:pic>
                  <pic:nvPicPr>
                    <pic:cNvPr id="0" name="fig_S1_position_effect.png"/>
                    <pic:cNvPicPr/>
                  </pic:nvPicPr>
                  <pic:blipFill>
                    <a:blip r:embed="rId12"/>
                    <a:stretch>
                      <a:fillRect/>
                    </a:stretch>
                  </pic:blipFill>
                  <pic:spPr>
                    <a:xfrm>
                      <a:off x="0" y="0"/>
                      <a:ext cx="5486400" cy="2171635"/>
                    </a:xfrm>
                    <a:prstGeom prst="rect"/>
                  </pic:spPr>
                </pic:pic>
              </a:graphicData>
            </a:graphic>
          </wp:inline>
        </w:drawing>
      </w:r>
    </w:p>
    <w:p>
      <w:r>
        <w:rPr>
          <w:i/>
          <w:sz w:val="16"/>
        </w:rPr>
        <w:t>Figure S2. Plate position affects community composition. (a) Genotypic category against plate column, sequencing run durance1 (727 samples, four tissues per fish); hybrids are split into the 20 intermediate genomes (pass 1) and the 22 near-parental genomes added in pass 2. Cramér's V = 0.53 (pass 1) and 0.48 (pass 2), computed on individuals. (b) Effect sizes relative to the null expectation, R²/(df/(n−1)), one point per tissue × run stratum and metric (24 per term and pass); filled, p &lt; 0.05; bar, median. Within-category rows test column inside a single genotypic category, where a column effect cannot be a category effect. (c) p-value of the plate-column term (Jaccard, permutations within station blocks) per tissue and run; 0.001 is the smallest value attainable with 999 permutations. The column term does not depend on category labels; the two passes differ only by the 22 individuals excluded from pass 1. Supplementary Table S</w:t>
      </w:r>
      <w:r>
        <w:rPr>
          <w:i/>
          <w:color w:val="1F4E79"/>
          <w:sz w:val="16"/>
        </w:rPr>
        <w:t>8</w:t>
      </w:r>
      <w:r>
        <w:rPr>
          <w:i/>
          <w:sz w:val="16"/>
        </w:rPr>
        <w:t>.</w:t>
      </w:r>
    </w:p>
    <w:p/>
    <w:p>
      <w:pPr>
        <w:pStyle w:val="Heading1"/>
      </w:pPr>
      <w:r>
        <w:rPr>
          <w:b/>
        </w:rPr>
        <w:t>Table S</w:t>
      </w:r>
      <w:r>
        <w:rPr>
          <w:b/>
        </w:rPr>
        <w:t>10</w:t>
      </w:r>
      <w:r>
        <w:rPr>
          <w:b/>
        </w:rPr>
        <w:t>. Dispersion of community composition by genotypic category (PERMDISP)</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Metric</w:t>
            </w:r>
          </w:p>
        </w:tc>
        <w:tc>
          <w:tcPr>
            <w:tcW w:type="dxa" w:w="960"/>
          </w:tcPr>
          <w:p>
            <w:r/>
            <w:r>
              <w:rPr>
                <w:b/>
                <w:sz w:val="16"/>
              </w:rPr>
              <w:t>Tissue</w:t>
            </w:r>
          </w:p>
        </w:tc>
        <w:tc>
          <w:tcPr>
            <w:tcW w:type="dxa" w:w="960"/>
          </w:tcPr>
          <w:p>
            <w:r/>
            <w:r>
              <w:rPr>
                <w:b/>
                <w:sz w:val="16"/>
              </w:rPr>
              <w:t>Significant, station-blocked</w:t>
            </w:r>
          </w:p>
        </w:tc>
        <w:tc>
          <w:tcPr>
            <w:tcW w:type="dxa" w:w="960"/>
          </w:tcPr>
          <w:p>
            <w:r/>
            <w:r>
              <w:rPr>
                <w:b/>
                <w:sz w:val="16"/>
              </w:rPr>
              <w:t>Significant, within-station</w:t>
            </w:r>
          </w:p>
        </w:tc>
        <w:tc>
          <w:tcPr>
            <w:tcW w:type="dxa" w:w="960"/>
          </w:tcPr>
          <w:p>
            <w:r/>
            <w:r>
              <w:rPr>
                <w:b/>
                <w:sz w:val="16"/>
              </w:rPr>
              <w:t>Median distance Cn</w:t>
            </w:r>
          </w:p>
        </w:tc>
        <w:tc>
          <w:tcPr>
            <w:tcW w:type="dxa" w:w="960"/>
          </w:tcPr>
          <w:p>
            <w:r/>
            <w:r>
              <w:rPr>
                <w:b/>
                <w:sz w:val="16"/>
              </w:rPr>
              <w:t>Median distance Hy</w:t>
            </w:r>
          </w:p>
        </w:tc>
        <w:tc>
          <w:tcPr>
            <w:tcW w:type="dxa" w:w="960"/>
          </w:tcPr>
          <w:p>
            <w:r/>
            <w:r>
              <w:rPr>
                <w:b/>
                <w:sz w:val="16"/>
              </w:rPr>
              <w:t>Median distance Pt</w:t>
            </w:r>
          </w:p>
        </w:tc>
        <w:tc>
          <w:tcPr>
            <w:tcW w:type="dxa" w:w="960"/>
          </w:tcPr>
          <w:p>
            <w:r/>
            <w:r>
              <w:rPr>
                <w:b/>
                <w:sz w:val="16"/>
              </w:rPr>
              <w:t>Hy most dispersed</w:t>
            </w:r>
          </w:p>
        </w:tc>
      </w:tr>
      <w:tr>
        <w:tc>
          <w:tcPr>
            <w:tcW w:type="dxa" w:w="960"/>
          </w:tcPr>
          <w:p>
            <w:r/>
            <w:r>
              <w:rPr>
                <w:sz w:val="16"/>
              </w:rPr>
              <w:t>1</w:t>
            </w:r>
          </w:p>
        </w:tc>
        <w:tc>
          <w:tcPr>
            <w:tcW w:type="dxa" w:w="960"/>
          </w:tcPr>
          <w:p>
            <w:r>
              <w:rPr>
                <w:color w:val="1F4E79"/>
              </w:rPr>
              <w:t>Bray–Curtis</w:t>
            </w:r>
          </w:p>
        </w:tc>
        <w:tc>
          <w:tcPr>
            <w:tcW w:type="dxa" w:w="960"/>
          </w:tcPr>
          <w:p>
            <w:r>
              <w:rPr>
                <w:color w:val="1F4E79"/>
              </w:rPr>
              <w:t>caudal fin</w:t>
            </w:r>
          </w:p>
        </w:tc>
        <w:tc>
          <w:tcPr>
            <w:tcW w:type="dxa" w:w="960"/>
          </w:tcPr>
          <w:p>
            <w:r>
              <w:rPr>
                <w:color w:val="1F4E79"/>
              </w:rPr>
              <w:t>0/3</w:t>
            </w:r>
          </w:p>
        </w:tc>
        <w:tc>
          <w:tcPr>
            <w:tcW w:type="dxa" w:w="960"/>
          </w:tcPr>
          <w:p>
            <w:r/>
            <w:r>
              <w:rPr>
                <w:sz w:val="16"/>
              </w:rPr>
              <w:t>0/3</w:t>
            </w:r>
          </w:p>
        </w:tc>
        <w:tc>
          <w:tcPr>
            <w:tcW w:type="dxa" w:w="960"/>
          </w:tcPr>
          <w:p>
            <w:r>
              <w:rPr>
                <w:color w:val="1F4E79"/>
              </w:rPr>
              <w:t>0.65</w:t>
            </w:r>
          </w:p>
        </w:tc>
        <w:tc>
          <w:tcPr>
            <w:tcW w:type="dxa" w:w="960"/>
          </w:tcPr>
          <w:p>
            <w:r>
              <w:rPr>
                <w:color w:val="1F4E79"/>
              </w:rPr>
              <w:t>0.63</w:t>
            </w:r>
          </w:p>
        </w:tc>
        <w:tc>
          <w:tcPr>
            <w:tcW w:type="dxa" w:w="960"/>
          </w:tcPr>
          <w:p>
            <w:r>
              <w:rPr>
                <w:color w:val="1F4E79"/>
              </w:rPr>
              <w:t>0.652</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0.632</w:t>
            </w:r>
          </w:p>
        </w:tc>
        <w:tc>
          <w:tcPr>
            <w:tcW w:type="dxa" w:w="960"/>
          </w:tcPr>
          <w:p>
            <w:r>
              <w:rPr>
                <w:color w:val="1F4E79"/>
              </w:rPr>
              <w:t>0.649</w:t>
            </w:r>
          </w:p>
        </w:tc>
        <w:tc>
          <w:tcPr>
            <w:tcW w:type="dxa" w:w="960"/>
          </w:tcPr>
          <w:p>
            <w:r>
              <w:rPr>
                <w:color w:val="1F4E79"/>
              </w:rPr>
              <w:t>0.633</w:t>
            </w:r>
          </w:p>
        </w:tc>
        <w:tc>
          <w:tcPr>
            <w:tcW w:type="dxa" w:w="960"/>
          </w:tcPr>
          <w:p>
            <w:r/>
            <w:r>
              <w:rPr>
                <w:sz w:val="16"/>
              </w:rPr>
              <w:t>3/3</w:t>
            </w:r>
          </w:p>
        </w:tc>
      </w:tr>
      <w:tr>
        <w:tc>
          <w:tcPr>
            <w:tcW w:type="dxa" w:w="960"/>
          </w:tcPr>
          <w:p>
            <w:r/>
            <w:r>
              <w:rPr>
                <w:sz w:val="16"/>
              </w:rPr>
              <w:t>1</w:t>
            </w:r>
          </w:p>
        </w:tc>
        <w:tc>
          <w:tcPr>
            <w:tcW w:type="dxa" w:w="960"/>
          </w:tcPr>
          <w:p>
            <w:r>
              <w:rPr>
                <w:color w:val="1F4E79"/>
              </w:rPr>
              <w:t>Bray–Curtis</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0.592</w:t>
            </w:r>
          </w:p>
        </w:tc>
        <w:tc>
          <w:tcPr>
            <w:tcW w:type="dxa" w:w="960"/>
          </w:tcPr>
          <w:p>
            <w:r>
              <w:rPr>
                <w:color w:val="1F4E79"/>
              </w:rPr>
              <w:t>0.597</w:t>
            </w:r>
          </w:p>
        </w:tc>
        <w:tc>
          <w:tcPr>
            <w:tcW w:type="dxa" w:w="960"/>
          </w:tcPr>
          <w:p>
            <w:r>
              <w:rPr>
                <w:color w:val="1F4E79"/>
              </w:rPr>
              <w:t>0.603</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
              <w:rPr>
                <w:sz w:val="16"/>
              </w:rPr>
              <w:t>hindgut</w:t>
            </w:r>
          </w:p>
        </w:tc>
        <w:tc>
          <w:tcPr>
            <w:tcW w:type="dxa" w:w="960"/>
          </w:tcPr>
          <w:p>
            <w:r>
              <w:rPr>
                <w:color w:val="1F4E79"/>
              </w:rPr>
              <w:t>0/3</w:t>
            </w:r>
          </w:p>
        </w:tc>
        <w:tc>
          <w:tcPr>
            <w:tcW w:type="dxa" w:w="960"/>
          </w:tcPr>
          <w:p>
            <w:r/>
            <w:r>
              <w:rPr>
                <w:sz w:val="16"/>
              </w:rPr>
              <w:t>0/6</w:t>
            </w:r>
          </w:p>
        </w:tc>
        <w:tc>
          <w:tcPr>
            <w:tcW w:type="dxa" w:w="960"/>
          </w:tcPr>
          <w:p>
            <w:r>
              <w:rPr>
                <w:color w:val="1F4E79"/>
              </w:rPr>
              <w:t>0.589</w:t>
            </w:r>
          </w:p>
        </w:tc>
        <w:tc>
          <w:tcPr>
            <w:tcW w:type="dxa" w:w="960"/>
          </w:tcPr>
          <w:p>
            <w:r>
              <w:rPr>
                <w:color w:val="1F4E79"/>
              </w:rPr>
              <w:t>0.59</w:t>
            </w:r>
          </w:p>
        </w:tc>
        <w:tc>
          <w:tcPr>
            <w:tcW w:type="dxa" w:w="960"/>
          </w:tcPr>
          <w:p>
            <w:r>
              <w:rPr>
                <w:color w:val="1F4E79"/>
              </w:rPr>
              <w:t>0.62</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0/3</w:t>
            </w:r>
          </w:p>
        </w:tc>
        <w:tc>
          <w:tcPr>
            <w:tcW w:type="dxa" w:w="960"/>
          </w:tcPr>
          <w:p>
            <w:r>
              <w:rPr>
                <w:color w:val="1F4E79"/>
              </w:rPr>
              <w:t>0.674</w:t>
            </w:r>
          </w:p>
        </w:tc>
        <w:tc>
          <w:tcPr>
            <w:tcW w:type="dxa" w:w="960"/>
          </w:tcPr>
          <w:p>
            <w:r>
              <w:rPr>
                <w:color w:val="1F4E79"/>
              </w:rPr>
              <w:t>0.668</w:t>
            </w:r>
          </w:p>
        </w:tc>
        <w:tc>
          <w:tcPr>
            <w:tcW w:type="dxa" w:w="960"/>
          </w:tcPr>
          <w:p>
            <w:r>
              <w:rPr>
                <w:color w:val="1F4E79"/>
              </w:rPr>
              <w:t>0.674</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0.665</w:t>
            </w:r>
          </w:p>
        </w:tc>
        <w:tc>
          <w:tcPr>
            <w:tcW w:type="dxa" w:w="960"/>
          </w:tcPr>
          <w:p>
            <w:r>
              <w:rPr>
                <w:color w:val="1F4E79"/>
              </w:rPr>
              <w:t>0.676</w:t>
            </w:r>
          </w:p>
        </w:tc>
        <w:tc>
          <w:tcPr>
            <w:tcW w:type="dxa" w:w="960"/>
          </w:tcPr>
          <w:p>
            <w:r>
              <w:rPr>
                <w:color w:val="1F4E79"/>
              </w:rPr>
              <w:t>0.654</w:t>
            </w:r>
          </w:p>
        </w:tc>
        <w:tc>
          <w:tcPr>
            <w:tcW w:type="dxa" w:w="960"/>
          </w:tcPr>
          <w:p>
            <w:r>
              <w:rPr>
                <w:color w:val="1F4E79"/>
              </w:rPr>
              <w:t>3/3</w:t>
            </w:r>
          </w:p>
        </w:tc>
      </w:tr>
      <w:tr>
        <w:tc>
          <w:tcPr>
            <w:tcW w:type="dxa" w:w="960"/>
          </w:tcPr>
          <w:p>
            <w:r/>
            <w:r>
              <w:rPr>
                <w:sz w:val="16"/>
              </w:rPr>
              <w:t>1</w:t>
            </w:r>
          </w:p>
        </w:tc>
        <w:tc>
          <w:tcPr>
            <w:tcW w:type="dxa" w:w="960"/>
          </w:tcPr>
          <w:p>
            <w:r/>
            <w:r>
              <w:rPr>
                <w:sz w:val="16"/>
              </w:rPr>
              <w:t>Jaccard</w:t>
            </w:r>
          </w:p>
        </w:tc>
        <w:tc>
          <w:tcPr>
            <w:tcW w:type="dxa" w:w="960"/>
          </w:tcPr>
          <w:p>
            <w:r/>
            <w:r>
              <w:rPr>
                <w:sz w:val="16"/>
              </w:rPr>
              <w:t>midgut</w:t>
            </w:r>
          </w:p>
        </w:tc>
        <w:tc>
          <w:tcPr>
            <w:tcW w:type="dxa" w:w="960"/>
          </w:tcPr>
          <w:p>
            <w:r>
              <w:rPr>
                <w:color w:val="1F4E79"/>
              </w:rPr>
              <w:t>0/3</w:t>
            </w:r>
          </w:p>
        </w:tc>
        <w:tc>
          <w:tcPr>
            <w:tcW w:type="dxa" w:w="960"/>
          </w:tcPr>
          <w:p>
            <w:r>
              <w:rPr>
                <w:color w:val="1F4E79"/>
              </w:rPr>
              <w:t>0/2</w:t>
            </w:r>
          </w:p>
        </w:tc>
        <w:tc>
          <w:tcPr>
            <w:tcW w:type="dxa" w:w="960"/>
          </w:tcPr>
          <w:p>
            <w:r>
              <w:rPr>
                <w:color w:val="1F4E79"/>
              </w:rPr>
              <w:t>0.654</w:t>
            </w:r>
          </w:p>
        </w:tc>
        <w:tc>
          <w:tcPr>
            <w:tcW w:type="dxa" w:w="960"/>
          </w:tcPr>
          <w:p>
            <w:r>
              <w:rPr>
                <w:color w:val="1F4E79"/>
              </w:rPr>
              <w:t>0.653</w:t>
            </w:r>
          </w:p>
        </w:tc>
        <w:tc>
          <w:tcPr>
            <w:tcW w:type="dxa" w:w="960"/>
          </w:tcPr>
          <w:p>
            <w:r>
              <w:rPr>
                <w:color w:val="1F4E79"/>
              </w:rPr>
              <w:t>0.648</w:t>
            </w:r>
          </w:p>
        </w:tc>
        <w:tc>
          <w:tcPr>
            <w:tcW w:type="dxa" w:w="960"/>
          </w:tcPr>
          <w:p>
            <w:r>
              <w:rPr>
                <w:color w:val="1F4E79"/>
              </w:rPr>
              <w:t>1/3</w:t>
            </w:r>
          </w:p>
        </w:tc>
      </w:tr>
      <w:tr>
        <w:tc>
          <w:tcPr>
            <w:tcW w:type="dxa" w:w="960"/>
          </w:tcPr>
          <w:p>
            <w:r/>
            <w:r>
              <w:rPr>
                <w:sz w:val="16"/>
              </w:rPr>
              <w:t>1</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0.662</w:t>
            </w:r>
          </w:p>
        </w:tc>
        <w:tc>
          <w:tcPr>
            <w:tcW w:type="dxa" w:w="960"/>
          </w:tcPr>
          <w:p>
            <w:r>
              <w:rPr>
                <w:color w:val="1F4E79"/>
              </w:rPr>
              <w:t>0.665</w:t>
            </w:r>
          </w:p>
        </w:tc>
        <w:tc>
          <w:tcPr>
            <w:tcW w:type="dxa" w:w="960"/>
          </w:tcPr>
          <w:p>
            <w:r>
              <w:rPr>
                <w:color w:val="1F4E79"/>
              </w:rPr>
              <w:t>0.662</w:t>
            </w:r>
          </w:p>
        </w:tc>
        <w:tc>
          <w:tcPr>
            <w:tcW w:type="dxa" w:w="960"/>
          </w:tcPr>
          <w:p>
            <w:r>
              <w:rPr>
                <w:color w:val="1F4E79"/>
              </w:rPr>
              <w:t>3/3</w:t>
            </w:r>
          </w:p>
        </w:tc>
      </w:tr>
      <w:tr>
        <w:tc>
          <w:tcPr>
            <w:tcW w:type="dxa" w:w="960"/>
          </w:tcPr>
          <w:p>
            <w:r/>
            <w:r>
              <w:rPr>
                <w:sz w:val="16"/>
              </w:rPr>
              <w:t>1</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2/3</w:t>
            </w:r>
          </w:p>
        </w:tc>
        <w:tc>
          <w:tcPr>
            <w:tcW w:type="dxa" w:w="960"/>
          </w:tcPr>
          <w:p>
            <w:r>
              <w:rPr>
                <w:color w:val="1F4E79"/>
              </w:rPr>
              <w:t>0.501</w:t>
            </w:r>
          </w:p>
        </w:tc>
        <w:tc>
          <w:tcPr>
            <w:tcW w:type="dxa" w:w="960"/>
          </w:tcPr>
          <w:p>
            <w:r>
              <w:rPr>
                <w:color w:val="1F4E79"/>
              </w:rPr>
              <w:t>0.492</w:t>
            </w:r>
          </w:p>
        </w:tc>
        <w:tc>
          <w:tcPr>
            <w:tcW w:type="dxa" w:w="960"/>
          </w:tcPr>
          <w:p>
            <w:r>
              <w:rPr>
                <w:color w:val="1F4E79"/>
              </w:rPr>
              <w:t>0.508</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Pr>
                <w:color w:val="1F4E79"/>
              </w:rPr>
              <w:t>1/6</w:t>
            </w:r>
          </w:p>
        </w:tc>
        <w:tc>
          <w:tcPr>
            <w:tcW w:type="dxa" w:w="960"/>
          </w:tcPr>
          <w:p>
            <w:r>
              <w:rPr>
                <w:color w:val="1F4E79"/>
              </w:rPr>
              <w:t>0.511</w:t>
            </w:r>
          </w:p>
        </w:tc>
        <w:tc>
          <w:tcPr>
            <w:tcW w:type="dxa" w:w="960"/>
          </w:tcPr>
          <w:p>
            <w:r>
              <w:rPr>
                <w:color w:val="1F4E79"/>
              </w:rPr>
              <w:t>0.514</w:t>
            </w:r>
          </w:p>
        </w:tc>
        <w:tc>
          <w:tcPr>
            <w:tcW w:type="dxa" w:w="960"/>
          </w:tcPr>
          <w:p>
            <w:r>
              <w:rPr>
                <w:color w:val="1F4E79"/>
              </w:rPr>
              <w:t>0.481</w:t>
            </w:r>
          </w:p>
        </w:tc>
        <w:tc>
          <w:tcPr>
            <w:tcW w:type="dxa" w:w="960"/>
          </w:tcPr>
          <w:p>
            <w:r>
              <w:rPr>
                <w:color w:val="1F4E79"/>
              </w:rPr>
              <w:t>2/3</w:t>
            </w:r>
          </w:p>
        </w:tc>
      </w:tr>
      <w:tr>
        <w:tc>
          <w:tcPr>
            <w:tcW w:type="dxa" w:w="960"/>
          </w:tcPr>
          <w:p>
            <w:r/>
            <w:r>
              <w:rPr>
                <w:sz w:val="16"/>
              </w:rPr>
              <w:t>1</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
              <w:rPr>
                <w:sz w:val="16"/>
              </w:rPr>
              <w:t>0/2</w:t>
            </w:r>
          </w:p>
        </w:tc>
        <w:tc>
          <w:tcPr>
            <w:tcW w:type="dxa" w:w="960"/>
          </w:tcPr>
          <w:p>
            <w:r>
              <w:rPr>
                <w:color w:val="1F4E79"/>
              </w:rPr>
              <w:t>0.487</w:t>
            </w:r>
          </w:p>
        </w:tc>
        <w:tc>
          <w:tcPr>
            <w:tcW w:type="dxa" w:w="960"/>
          </w:tcPr>
          <w:p>
            <w:r>
              <w:rPr>
                <w:color w:val="1F4E79"/>
              </w:rPr>
              <w:t>0.449</w:t>
            </w:r>
          </w:p>
        </w:tc>
        <w:tc>
          <w:tcPr>
            <w:tcW w:type="dxa" w:w="960"/>
          </w:tcPr>
          <w:p>
            <w:r>
              <w:rPr>
                <w:color w:val="1F4E79"/>
              </w:rPr>
              <w:t>0.483</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0.484</w:t>
            </w:r>
          </w:p>
        </w:tc>
        <w:tc>
          <w:tcPr>
            <w:tcW w:type="dxa" w:w="960"/>
          </w:tcPr>
          <w:p>
            <w:r>
              <w:rPr>
                <w:color w:val="1F4E79"/>
              </w:rPr>
              <w:t>0.48</w:t>
            </w:r>
          </w:p>
        </w:tc>
        <w:tc>
          <w:tcPr>
            <w:tcW w:type="dxa" w:w="960"/>
          </w:tcPr>
          <w:p>
            <w:r>
              <w:rPr>
                <w:color w:val="1F4E79"/>
              </w:rPr>
              <w:t>0.492</w:t>
            </w:r>
          </w:p>
        </w:tc>
        <w:tc>
          <w:tcPr>
            <w:tcW w:type="dxa" w:w="960"/>
          </w:tcPr>
          <w:p>
            <w:r/>
            <w:r>
              <w:rPr>
                <w:sz w:val="16"/>
              </w:rPr>
              <w:t>0/3</w:t>
            </w:r>
          </w:p>
        </w:tc>
      </w:tr>
      <w:tr>
        <w:tc>
          <w:tcPr>
            <w:tcW w:type="dxa" w:w="960"/>
          </w:tcPr>
          <w:p>
            <w:r/>
            <w:r>
              <w:rPr>
                <w:sz w:val="16"/>
              </w:rPr>
              <w:t>1</w:t>
            </w:r>
          </w:p>
        </w:tc>
        <w:tc>
          <w:tcPr>
            <w:tcW w:type="dxa" w:w="960"/>
          </w:tcPr>
          <w:p>
            <w:r>
              <w:rPr>
                <w:color w:val="1F4E79"/>
              </w:rPr>
              <w:t>weighted UniFrac</w:t>
            </w:r>
          </w:p>
        </w:tc>
        <w:tc>
          <w:tcPr>
            <w:tcW w:type="dxa" w:w="960"/>
          </w:tcPr>
          <w:p>
            <w:r>
              <w:rPr>
                <w:color w:val="1F4E79"/>
              </w:rPr>
              <w:t>caudal fin</w:t>
            </w:r>
          </w:p>
        </w:tc>
        <w:tc>
          <w:tcPr>
            <w:tcW w:type="dxa" w:w="960"/>
          </w:tcPr>
          <w:p>
            <w:r>
              <w:rPr>
                <w:color w:val="1F4E79"/>
              </w:rPr>
              <w:t>1/3</w:t>
            </w:r>
          </w:p>
        </w:tc>
        <w:tc>
          <w:tcPr>
            <w:tcW w:type="dxa" w:w="960"/>
          </w:tcPr>
          <w:p>
            <w:r/>
            <w:r>
              <w:rPr>
                <w:sz w:val="16"/>
              </w:rPr>
              <w:t>0/3</w:t>
            </w:r>
          </w:p>
        </w:tc>
        <w:tc>
          <w:tcPr>
            <w:tcW w:type="dxa" w:w="960"/>
          </w:tcPr>
          <w:p>
            <w:r/>
            <w:r>
              <w:rPr>
                <w:sz w:val="16"/>
              </w:rPr>
              <w:t>0.058</w:t>
            </w:r>
          </w:p>
        </w:tc>
        <w:tc>
          <w:tcPr>
            <w:tcW w:type="dxa" w:w="960"/>
          </w:tcPr>
          <w:p>
            <w:r>
              <w:rPr>
                <w:color w:val="1F4E79"/>
              </w:rPr>
              <w:t>0.059</w:t>
            </w:r>
          </w:p>
        </w:tc>
        <w:tc>
          <w:tcPr>
            <w:tcW w:type="dxa" w:w="960"/>
          </w:tcPr>
          <w:p>
            <w:r/>
            <w:r>
              <w:rPr>
                <w:sz w:val="16"/>
              </w:rPr>
              <w:t>0.054</w:t>
            </w:r>
          </w:p>
        </w:tc>
        <w:tc>
          <w:tcPr>
            <w:tcW w:type="dxa" w:w="960"/>
          </w:tcPr>
          <w:p>
            <w:r>
              <w:rPr>
                <w:color w:val="1F4E79"/>
              </w:rPr>
              <w:t>3/3</w:t>
            </w:r>
          </w:p>
        </w:tc>
      </w:tr>
      <w:tr>
        <w:tc>
          <w:tcPr>
            <w:tcW w:type="dxa" w:w="960"/>
          </w:tcPr>
          <w:p>
            <w:r/>
            <w:r>
              <w:rPr>
                <w:sz w:val="16"/>
              </w:rPr>
              <w:t>1</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1</w:t>
            </w:r>
          </w:p>
        </w:tc>
        <w:tc>
          <w:tcPr>
            <w:tcW w:type="dxa" w:w="960"/>
          </w:tcPr>
          <w:p>
            <w:r>
              <w:rPr>
                <w:color w:val="1F4E79"/>
              </w:rPr>
              <w:t>weighted UniFrac</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0.058</w:t>
            </w:r>
          </w:p>
        </w:tc>
        <w:tc>
          <w:tcPr>
            <w:tcW w:type="dxa" w:w="960"/>
          </w:tcPr>
          <w:p>
            <w:r>
              <w:rPr>
                <w:color w:val="1F4E79"/>
              </w:rPr>
              <w:t>0.06</w:t>
            </w:r>
          </w:p>
        </w:tc>
        <w:tc>
          <w:tcPr>
            <w:tcW w:type="dxa" w:w="960"/>
          </w:tcPr>
          <w:p>
            <w:r/>
            <w:r>
              <w:rPr>
                <w:sz w:val="16"/>
              </w:rPr>
              <w:t>0.065</w:t>
            </w:r>
          </w:p>
        </w:tc>
        <w:tc>
          <w:tcPr>
            <w:tcW w:type="dxa" w:w="960"/>
          </w:tcPr>
          <w:p>
            <w:r/>
            <w:r>
              <w:rPr>
                <w:sz w:val="16"/>
              </w:rPr>
              <w:t>1/3</w:t>
            </w:r>
          </w:p>
        </w:tc>
      </w:tr>
      <w:tr>
        <w:tc>
          <w:tcPr>
            <w:tcW w:type="dxa" w:w="960"/>
          </w:tcPr>
          <w:p>
            <w:r/>
            <w:r>
              <w:rPr>
                <w:sz w:val="16"/>
              </w:rPr>
              <w:t>1</w:t>
            </w:r>
          </w:p>
        </w:tc>
        <w:tc>
          <w:tcPr>
            <w:tcW w:type="dxa" w:w="960"/>
          </w:tcPr>
          <w:p>
            <w:r>
              <w:rPr>
                <w:color w:val="1F4E79"/>
              </w:rPr>
              <w:t>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0.062</w:t>
            </w:r>
          </w:p>
        </w:tc>
        <w:tc>
          <w:tcPr>
            <w:tcW w:type="dxa" w:w="960"/>
          </w:tcPr>
          <w:p>
            <w:r>
              <w:rPr>
                <w:color w:val="1F4E79"/>
              </w:rPr>
              <w:t>0.059</w:t>
            </w:r>
          </w:p>
        </w:tc>
        <w:tc>
          <w:tcPr>
            <w:tcW w:type="dxa" w:w="960"/>
          </w:tcPr>
          <w:p>
            <w:r>
              <w:rPr>
                <w:color w:val="1F4E79"/>
              </w:rPr>
              <w:t>0.06</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Pr>
                <w:color w:val="1F4E79"/>
              </w:rPr>
              <w:t>0.65</w:t>
            </w:r>
          </w:p>
        </w:tc>
        <w:tc>
          <w:tcPr>
            <w:tcW w:type="dxa" w:w="960"/>
          </w:tcPr>
          <w:p>
            <w:r>
              <w:rPr>
                <w:color w:val="1F4E79"/>
              </w:rPr>
              <w:t>0.616</w:t>
            </w:r>
          </w:p>
        </w:tc>
        <w:tc>
          <w:tcPr>
            <w:tcW w:type="dxa" w:w="960"/>
          </w:tcPr>
          <w:p>
            <w:r>
              <w:rPr>
                <w:color w:val="1F4E79"/>
              </w:rPr>
              <w:t>0.652</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2/9</w:t>
            </w:r>
          </w:p>
        </w:tc>
        <w:tc>
          <w:tcPr>
            <w:tcW w:type="dxa" w:w="960"/>
          </w:tcPr>
          <w:p>
            <w:r>
              <w:rPr>
                <w:color w:val="1F4E79"/>
              </w:rPr>
              <w:t>0.631</w:t>
            </w:r>
          </w:p>
        </w:tc>
        <w:tc>
          <w:tcPr>
            <w:tcW w:type="dxa" w:w="960"/>
          </w:tcPr>
          <w:p>
            <w:r>
              <w:rPr>
                <w:color w:val="1F4E79"/>
              </w:rPr>
              <w:t>0.645</w:t>
            </w:r>
          </w:p>
        </w:tc>
        <w:tc>
          <w:tcPr>
            <w:tcW w:type="dxa" w:w="960"/>
          </w:tcPr>
          <w:p>
            <w:r>
              <w:rPr>
                <w:color w:val="1F4E79"/>
              </w:rPr>
              <w:t>0.633</w:t>
            </w:r>
          </w:p>
        </w:tc>
        <w:tc>
          <w:tcPr>
            <w:tcW w:type="dxa" w:w="960"/>
          </w:tcPr>
          <w:p>
            <w:r/>
            <w:r>
              <w:rPr>
                <w:sz w:val="16"/>
              </w:rPr>
              <w:t>3/3</w:t>
            </w:r>
          </w:p>
        </w:tc>
      </w:tr>
      <w:tr>
        <w:tc>
          <w:tcPr>
            <w:tcW w:type="dxa" w:w="960"/>
          </w:tcPr>
          <w:p>
            <w:r/>
            <w:r>
              <w:rPr>
                <w:sz w:val="16"/>
              </w:rPr>
              <w:t>2</w:t>
            </w:r>
          </w:p>
        </w:tc>
        <w:tc>
          <w:tcPr>
            <w:tcW w:type="dxa" w:w="960"/>
          </w:tcPr>
          <w:p>
            <w:r>
              <w:rPr>
                <w:color w:val="1F4E79"/>
              </w:rPr>
              <w:t>Bray–Curtis</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Pr>
                <w:color w:val="1F4E79"/>
              </w:rPr>
              <w:t>0.592</w:t>
            </w:r>
          </w:p>
        </w:tc>
        <w:tc>
          <w:tcPr>
            <w:tcW w:type="dxa" w:w="960"/>
          </w:tcPr>
          <w:p>
            <w:r>
              <w:rPr>
                <w:color w:val="1F4E79"/>
              </w:rPr>
              <w:t>0.484</w:t>
            </w:r>
          </w:p>
        </w:tc>
        <w:tc>
          <w:tcPr>
            <w:tcW w:type="dxa" w:w="960"/>
          </w:tcPr>
          <w:p>
            <w:r>
              <w:rPr>
                <w:color w:val="1F4E79"/>
              </w:rPr>
              <w:t>0.603</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
              <w:rPr>
                <w:sz w:val="16"/>
              </w:rPr>
              <w:t>hindgut</w:t>
            </w:r>
          </w:p>
        </w:tc>
        <w:tc>
          <w:tcPr>
            <w:tcW w:type="dxa" w:w="960"/>
          </w:tcPr>
          <w:p>
            <w:r/>
            <w:r>
              <w:rPr>
                <w:sz w:val="16"/>
              </w:rPr>
              <w:t>3/3</w:t>
            </w:r>
          </w:p>
        </w:tc>
        <w:tc>
          <w:tcPr>
            <w:tcW w:type="dxa" w:w="960"/>
          </w:tcPr>
          <w:p>
            <w:r/>
            <w:r>
              <w:rPr>
                <w:sz w:val="16"/>
              </w:rPr>
              <w:t>0/9</w:t>
            </w:r>
          </w:p>
        </w:tc>
        <w:tc>
          <w:tcPr>
            <w:tcW w:type="dxa" w:w="960"/>
          </w:tcPr>
          <w:p>
            <w:r>
              <w:rPr>
                <w:color w:val="1F4E79"/>
              </w:rPr>
              <w:t>0.589</w:t>
            </w:r>
          </w:p>
        </w:tc>
        <w:tc>
          <w:tcPr>
            <w:tcW w:type="dxa" w:w="960"/>
          </w:tcPr>
          <w:p>
            <w:r>
              <w:rPr>
                <w:color w:val="1F4E79"/>
              </w:rPr>
              <w:t>0.502</w:t>
            </w:r>
          </w:p>
        </w:tc>
        <w:tc>
          <w:tcPr>
            <w:tcW w:type="dxa" w:w="960"/>
          </w:tcPr>
          <w:p>
            <w:r>
              <w:rPr>
                <w:color w:val="1F4E79"/>
              </w:rPr>
              <w:t>0.62</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0/6</w:t>
            </w:r>
          </w:p>
        </w:tc>
        <w:tc>
          <w:tcPr>
            <w:tcW w:type="dxa" w:w="960"/>
          </w:tcPr>
          <w:p>
            <w:r>
              <w:rPr>
                <w:color w:val="1F4E79"/>
              </w:rPr>
              <w:t>0.674</w:t>
            </w:r>
          </w:p>
        </w:tc>
        <w:tc>
          <w:tcPr>
            <w:tcW w:type="dxa" w:w="960"/>
          </w:tcPr>
          <w:p>
            <w:r>
              <w:rPr>
                <w:color w:val="1F4E79"/>
              </w:rPr>
              <w:t>0.666</w:t>
            </w:r>
          </w:p>
        </w:tc>
        <w:tc>
          <w:tcPr>
            <w:tcW w:type="dxa" w:w="960"/>
          </w:tcPr>
          <w:p>
            <w:r>
              <w:rPr>
                <w:color w:val="1F4E79"/>
              </w:rPr>
              <w:t>0.674</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Pr>
                <w:color w:val="1F4E79"/>
              </w:rPr>
              <w:t>0/9</w:t>
            </w:r>
          </w:p>
        </w:tc>
        <w:tc>
          <w:tcPr>
            <w:tcW w:type="dxa" w:w="960"/>
          </w:tcPr>
          <w:p>
            <w:r>
              <w:rPr>
                <w:color w:val="1F4E79"/>
              </w:rPr>
              <w:t>0.665</w:t>
            </w:r>
          </w:p>
        </w:tc>
        <w:tc>
          <w:tcPr>
            <w:tcW w:type="dxa" w:w="960"/>
          </w:tcPr>
          <w:p>
            <w:r>
              <w:rPr>
                <w:color w:val="1F4E79"/>
              </w:rPr>
              <w:t>0.665</w:t>
            </w:r>
          </w:p>
        </w:tc>
        <w:tc>
          <w:tcPr>
            <w:tcW w:type="dxa" w:w="960"/>
          </w:tcPr>
          <w:p>
            <w:r>
              <w:rPr>
                <w:color w:val="1F4E79"/>
              </w:rPr>
              <w:t>0.654</w:t>
            </w:r>
          </w:p>
        </w:tc>
        <w:tc>
          <w:tcPr>
            <w:tcW w:type="dxa" w:w="960"/>
          </w:tcPr>
          <w:p>
            <w:r>
              <w:rPr>
                <w:color w:val="1F4E79"/>
              </w:rPr>
              <w:t>2/3</w:t>
            </w:r>
          </w:p>
        </w:tc>
      </w:tr>
      <w:tr>
        <w:tc>
          <w:tcPr>
            <w:tcW w:type="dxa" w:w="960"/>
          </w:tcPr>
          <w:p>
            <w:r/>
            <w:r>
              <w:rPr>
                <w:sz w:val="16"/>
              </w:rPr>
              <w:t>2</w:t>
            </w:r>
          </w:p>
        </w:tc>
        <w:tc>
          <w:tcPr>
            <w:tcW w:type="dxa" w:w="960"/>
          </w:tcPr>
          <w:p>
            <w:r/>
            <w:r>
              <w:rPr>
                <w:sz w:val="16"/>
              </w:rPr>
              <w:t>Jaccard</w:t>
            </w:r>
          </w:p>
        </w:tc>
        <w:tc>
          <w:tcPr>
            <w:tcW w:type="dxa" w:w="960"/>
          </w:tcPr>
          <w:p>
            <w:r/>
            <w:r>
              <w:rPr>
                <w:sz w:val="16"/>
              </w:rPr>
              <w:t>midgut</w:t>
            </w:r>
          </w:p>
        </w:tc>
        <w:tc>
          <w:tcPr>
            <w:tcW w:type="dxa" w:w="960"/>
          </w:tcPr>
          <w:p>
            <w:r>
              <w:rPr>
                <w:color w:val="1F4E79"/>
              </w:rPr>
              <w:t>1/3</w:t>
            </w:r>
          </w:p>
        </w:tc>
        <w:tc>
          <w:tcPr>
            <w:tcW w:type="dxa" w:w="960"/>
          </w:tcPr>
          <w:p>
            <w:r>
              <w:rPr>
                <w:color w:val="1F4E79"/>
              </w:rPr>
              <w:t>0/6</w:t>
            </w:r>
          </w:p>
        </w:tc>
        <w:tc>
          <w:tcPr>
            <w:tcW w:type="dxa" w:w="960"/>
          </w:tcPr>
          <w:p>
            <w:r>
              <w:rPr>
                <w:color w:val="1F4E79"/>
              </w:rPr>
              <w:t>0.654</w:t>
            </w:r>
          </w:p>
        </w:tc>
        <w:tc>
          <w:tcPr>
            <w:tcW w:type="dxa" w:w="960"/>
          </w:tcPr>
          <w:p>
            <w:r>
              <w:rPr>
                <w:color w:val="1F4E79"/>
              </w:rPr>
              <w:t>0.644</w:t>
            </w:r>
          </w:p>
        </w:tc>
        <w:tc>
          <w:tcPr>
            <w:tcW w:type="dxa" w:w="960"/>
          </w:tcPr>
          <w:p>
            <w:r>
              <w:rPr>
                <w:color w:val="1F4E79"/>
              </w:rPr>
              <w:t>0.648</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0.662</w:t>
            </w:r>
          </w:p>
        </w:tc>
        <w:tc>
          <w:tcPr>
            <w:tcW w:type="dxa" w:w="960"/>
          </w:tcPr>
          <w:p>
            <w:r>
              <w:rPr>
                <w:color w:val="1F4E79"/>
              </w:rPr>
              <w:t>0.66</w:t>
            </w:r>
          </w:p>
        </w:tc>
        <w:tc>
          <w:tcPr>
            <w:tcW w:type="dxa" w:w="960"/>
          </w:tcPr>
          <w:p>
            <w:r>
              <w:rPr>
                <w:color w:val="1F4E79"/>
              </w:rPr>
              <w:t>0.662</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2/6</w:t>
            </w:r>
          </w:p>
        </w:tc>
        <w:tc>
          <w:tcPr>
            <w:tcW w:type="dxa" w:w="960"/>
          </w:tcPr>
          <w:p>
            <w:r>
              <w:rPr>
                <w:color w:val="1F4E79"/>
              </w:rPr>
              <w:t>0.501</w:t>
            </w:r>
          </w:p>
        </w:tc>
        <w:tc>
          <w:tcPr>
            <w:tcW w:type="dxa" w:w="960"/>
          </w:tcPr>
          <w:p>
            <w:r>
              <w:rPr>
                <w:color w:val="1F4E79"/>
              </w:rPr>
              <w:t>0.494</w:t>
            </w:r>
          </w:p>
        </w:tc>
        <w:tc>
          <w:tcPr>
            <w:tcW w:type="dxa" w:w="960"/>
          </w:tcPr>
          <w:p>
            <w:r>
              <w:rPr>
                <w:color w:val="1F4E79"/>
              </w:rPr>
              <w:t>0.508</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
              <w:rPr>
                <w:sz w:val="16"/>
              </w:rPr>
              <w:t>0/9</w:t>
            </w:r>
          </w:p>
        </w:tc>
        <w:tc>
          <w:tcPr>
            <w:tcW w:type="dxa" w:w="960"/>
          </w:tcPr>
          <w:p>
            <w:r>
              <w:rPr>
                <w:color w:val="1F4E79"/>
              </w:rPr>
              <w:t>0.511</w:t>
            </w:r>
          </w:p>
        </w:tc>
        <w:tc>
          <w:tcPr>
            <w:tcW w:type="dxa" w:w="960"/>
          </w:tcPr>
          <w:p>
            <w:r>
              <w:rPr>
                <w:color w:val="1F4E79"/>
              </w:rPr>
              <w:t>0.496</w:t>
            </w:r>
          </w:p>
        </w:tc>
        <w:tc>
          <w:tcPr>
            <w:tcW w:type="dxa" w:w="960"/>
          </w:tcPr>
          <w:p>
            <w:r>
              <w:rPr>
                <w:color w:val="1F4E79"/>
              </w:rPr>
              <w:t>0.481</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Pr>
                <w:color w:val="1F4E79"/>
              </w:rPr>
              <w:t>0/6</w:t>
            </w:r>
          </w:p>
        </w:tc>
        <w:tc>
          <w:tcPr>
            <w:tcW w:type="dxa" w:w="960"/>
          </w:tcPr>
          <w:p>
            <w:r>
              <w:rPr>
                <w:color w:val="1F4E79"/>
              </w:rPr>
              <w:t>0.487</w:t>
            </w:r>
          </w:p>
        </w:tc>
        <w:tc>
          <w:tcPr>
            <w:tcW w:type="dxa" w:w="960"/>
          </w:tcPr>
          <w:p>
            <w:r>
              <w:rPr>
                <w:color w:val="1F4E79"/>
              </w:rPr>
              <w:t>0.436</w:t>
            </w:r>
          </w:p>
        </w:tc>
        <w:tc>
          <w:tcPr>
            <w:tcW w:type="dxa" w:w="960"/>
          </w:tcPr>
          <w:p>
            <w:r>
              <w:rPr>
                <w:color w:val="1F4E79"/>
              </w:rPr>
              <w:t>0.483</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0.484</w:t>
            </w:r>
          </w:p>
        </w:tc>
        <w:tc>
          <w:tcPr>
            <w:tcW w:type="dxa" w:w="960"/>
          </w:tcPr>
          <w:p>
            <w:r>
              <w:rPr>
                <w:color w:val="1F4E79"/>
              </w:rPr>
              <w:t>0.473</w:t>
            </w:r>
          </w:p>
        </w:tc>
        <w:tc>
          <w:tcPr>
            <w:tcW w:type="dxa" w:w="960"/>
          </w:tcPr>
          <w:p>
            <w:r>
              <w:rPr>
                <w:color w:val="1F4E79"/>
              </w:rPr>
              <w:t>0.492</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
              <w:rPr>
                <w:sz w:val="16"/>
              </w:rPr>
              <w:t>0.058</w:t>
            </w:r>
          </w:p>
        </w:tc>
        <w:tc>
          <w:tcPr>
            <w:tcW w:type="dxa" w:w="960"/>
          </w:tcPr>
          <w:p>
            <w:r>
              <w:rPr>
                <w:color w:val="1F4E79"/>
              </w:rPr>
              <w:t>0.06</w:t>
            </w:r>
          </w:p>
        </w:tc>
        <w:tc>
          <w:tcPr>
            <w:tcW w:type="dxa" w:w="960"/>
          </w:tcPr>
          <w:p>
            <w:r/>
            <w:r>
              <w:rPr>
                <w:sz w:val="16"/>
              </w:rPr>
              <w:t>0.054</w:t>
            </w:r>
          </w:p>
        </w:tc>
        <w:tc>
          <w:tcPr>
            <w:tcW w:type="dxa" w:w="960"/>
          </w:tcPr>
          <w:p>
            <w:r/>
            <w:r>
              <w:rPr>
                <w:sz w:val="16"/>
              </w:rPr>
              <w:t>3/3</w:t>
            </w:r>
          </w:p>
        </w:tc>
      </w:tr>
      <w:tr>
        <w:tc>
          <w:tcPr>
            <w:tcW w:type="dxa" w:w="960"/>
          </w:tcPr>
          <w:p>
            <w:r/>
            <w:r>
              <w:rPr>
                <w:sz w:val="16"/>
              </w:rPr>
              <w:t>2</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3/9</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2</w:t>
            </w:r>
          </w:p>
        </w:tc>
        <w:tc>
          <w:tcPr>
            <w:tcW w:type="dxa" w:w="960"/>
          </w:tcPr>
          <w:p>
            <w:r>
              <w:rPr>
                <w:color w:val="1F4E79"/>
              </w:rPr>
              <w:t>weighted UniFrac</w:t>
            </w:r>
          </w:p>
        </w:tc>
        <w:tc>
          <w:tcPr>
            <w:tcW w:type="dxa" w:w="960"/>
          </w:tcPr>
          <w:p>
            <w:r/>
            <w:r>
              <w:rPr>
                <w:sz w:val="16"/>
              </w:rPr>
              <w:t>midgut</w:t>
            </w:r>
          </w:p>
        </w:tc>
        <w:tc>
          <w:tcPr>
            <w:tcW w:type="dxa" w:w="960"/>
          </w:tcPr>
          <w:p>
            <w:r>
              <w:rPr>
                <w:color w:val="1F4E79"/>
              </w:rPr>
              <w:t>1/3</w:t>
            </w:r>
          </w:p>
        </w:tc>
        <w:tc>
          <w:tcPr>
            <w:tcW w:type="dxa" w:w="960"/>
          </w:tcPr>
          <w:p>
            <w:r/>
            <w:r>
              <w:rPr>
                <w:sz w:val="16"/>
              </w:rPr>
              <w:t>0/6</w:t>
            </w:r>
          </w:p>
        </w:tc>
        <w:tc>
          <w:tcPr>
            <w:tcW w:type="dxa" w:w="960"/>
          </w:tcPr>
          <w:p>
            <w:r>
              <w:rPr>
                <w:color w:val="1F4E79"/>
              </w:rPr>
              <w:t>0.058</w:t>
            </w:r>
          </w:p>
        </w:tc>
        <w:tc>
          <w:tcPr>
            <w:tcW w:type="dxa" w:w="960"/>
          </w:tcPr>
          <w:p>
            <w:r/>
            <w:r>
              <w:rPr>
                <w:sz w:val="16"/>
              </w:rPr>
              <w:t>0.045</w:t>
            </w:r>
          </w:p>
        </w:tc>
        <w:tc>
          <w:tcPr>
            <w:tcW w:type="dxa" w:w="960"/>
          </w:tcPr>
          <w:p>
            <w:r/>
            <w:r>
              <w:rPr>
                <w:sz w:val="16"/>
              </w:rPr>
              <w:t>0.065</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
              <w:rPr>
                <w:sz w:val="16"/>
              </w:rPr>
              <w:t>hindgut</w:t>
            </w:r>
          </w:p>
        </w:tc>
        <w:tc>
          <w:tcPr>
            <w:tcW w:type="dxa" w:w="960"/>
          </w:tcPr>
          <w:p>
            <w:r/>
            <w:r>
              <w:rPr>
                <w:sz w:val="16"/>
              </w:rPr>
              <w:t>1/3</w:t>
            </w:r>
          </w:p>
        </w:tc>
        <w:tc>
          <w:tcPr>
            <w:tcW w:type="dxa" w:w="960"/>
          </w:tcPr>
          <w:p>
            <w:r/>
            <w:r>
              <w:rPr>
                <w:sz w:val="16"/>
              </w:rPr>
              <w:t>0/9</w:t>
            </w:r>
          </w:p>
        </w:tc>
        <w:tc>
          <w:tcPr>
            <w:tcW w:type="dxa" w:w="960"/>
          </w:tcPr>
          <w:p>
            <w:r>
              <w:rPr>
                <w:color w:val="1F4E79"/>
              </w:rPr>
              <w:t>0.062</w:t>
            </w:r>
          </w:p>
        </w:tc>
        <w:tc>
          <w:tcPr>
            <w:tcW w:type="dxa" w:w="960"/>
          </w:tcPr>
          <w:p>
            <w:r>
              <w:rPr>
                <w:color w:val="1F4E79"/>
              </w:rPr>
              <w:t>0.05</w:t>
            </w:r>
          </w:p>
        </w:tc>
        <w:tc>
          <w:tcPr>
            <w:tcW w:type="dxa" w:w="960"/>
          </w:tcPr>
          <w:p>
            <w:r/>
            <w:r>
              <w:rPr>
                <w:sz w:val="16"/>
              </w:rPr>
              <w:t>0.06</w:t>
            </w:r>
          </w:p>
        </w:tc>
        <w:tc>
          <w:tcPr>
            <w:tcW w:type="dxa" w:w="960"/>
          </w:tcPr>
          <w:p>
            <w:r/>
            <w:r>
              <w:rPr>
                <w:sz w:val="16"/>
              </w:rPr>
              <w:t>0/3</w:t>
            </w:r>
          </w:p>
        </w:tc>
      </w:tr>
    </w:tbl>
    <w:p>
      <w:r>
        <w:rPr>
          <w:i/>
          <w:sz w:val="16"/>
        </w:rPr>
        <w:t>betadisper on the averaged dissimilarity matrices, spatial median, stratified by tissue, each sequencing run analysed separately. Rows are given for both passes (main text §1). Station-blocked: all samples of the stratum, permutations constrained within station. Within-station: the stations carrying all three categories with at least three samples per category, analysed separately (three stations in pass 2; Saint-Just-d'Ardèche is not testable in pass 1), where a dispersion difference cannot be spatial. Distances are the median distance of a category's samples to their group centre (median over the three runs). Negative eigenvalues of the averaged matrices accounted for a median of 0.00 % and at most 10.4 % of the absolute eigenvalue sum.</w:t>
      </w:r>
      <w:r>
        <w:rPr>
          <w:color w:val="1F4E79"/>
        </w:rPr>
        <w:t xml:space="preserve"> Distances are corrected for small-sample bias (betadisper, bias.adjust = TRUE; Stier et al. 2013, main text reference 48), because hybrids are the smallest category in every stratum and the uncorrected statistic underestimates the dispersion of small groups; this version replaces an earlier, uncorrected table.</w:t>
      </w:r>
    </w:p>
    <w:p/>
    <w:p>
      <w:r>
        <w:drawing>
          <wp:inline xmlns:a="http://schemas.openxmlformats.org/drawingml/2006/main" xmlns:pic="http://schemas.openxmlformats.org/drawingml/2006/picture">
            <wp:extent cx="5486400" cy="3241012"/>
            <wp:docPr id="5" name="Picture 5"/>
            <wp:cNvGraphicFramePr>
              <a:graphicFrameLocks noChangeAspect="1"/>
            </wp:cNvGraphicFramePr>
            <a:graphic>
              <a:graphicData uri="http://schemas.openxmlformats.org/drawingml/2006/picture">
                <pic:pic>
                  <pic:nvPicPr>
                    <pic:cNvPr id="0" name="fig_S3_permdisp.png"/>
                    <pic:cNvPicPr/>
                  </pic:nvPicPr>
                  <pic:blipFill>
                    <a:blip r:embed="rId13"/>
                    <a:stretch>
                      <a:fillRect/>
                    </a:stretch>
                  </pic:blipFill>
                  <pic:spPr>
                    <a:xfrm>
                      <a:off x="0" y="0"/>
                      <a:ext cx="5486400" cy="3241012"/>
                    </a:xfrm>
                    <a:prstGeom prst="rect"/>
                  </pic:spPr>
                </pic:pic>
              </a:graphicData>
            </a:graphic>
          </wp:inline>
        </w:drawing>
      </w:r>
    </w:p>
    <w:p>
      <w:r>
        <w:rPr>
          <w:i/>
          <w:color w:val="1F4E79"/>
          <w:sz w:val="16"/>
        </w:rPr>
        <w:t>Figure S3. Dispersion by genotypic category (PERMDISP), corrected for small-sample bias. (a, b) Distance of each category's samples to their group median, corrected for group size (bias.adjust = TRUE) and expressed as a deviation from the three-category mean within each metric × run so that metrics are comparable; permutations constrained within station blocks; 12 points per category and tissue (4 metrics × 3 runs); bar, median. (a) Pass 1, 20 intermediate hybrids (n = 158); (b) pass 2, all 42 hybrids (n = 180). (c) Direction tally across tests; dashed line, the one third expected if no category is systematically the most or least dispersed; the transgressive prediction concerns the right-hand bars. Within-station tests cover the stations carrying all three categories with at least three samples per category, so their number differs between passes (68 and 120; Saint-Just-d'Ardèche is testable only in pass 2). (d) Caudal fin: number of sequencing runs out of three in which category affects location (PERMANOVA, principal model without plate position, station fixed by permutation blocks) and dispersion (PERMDISP, station-blocked). Supplementary Table S</w:t>
      </w:r>
      <w:r>
        <w:rPr>
          <w:i/>
          <w:color w:val="1F4E79"/>
          <w:sz w:val="16"/>
        </w:rPr>
        <w:t>10</w:t>
      </w:r>
      <w:r>
        <w:rPr>
          <w:i/>
          <w:color w:val="1F4E79"/>
          <w:sz w:val="16"/>
        </w:rPr>
        <w:t>.</w:t>
      </w:r>
    </w:p>
    <w:p>
      <w:pPr>
        <w:pStyle w:val="Heading1"/>
      </w:pPr>
      <w:r>
        <w:rPr>
          <w:i/>
          <w:sz w:val="16"/>
        </w:rPr>
      </w:r>
      <w:r>
        <w:rPr>
          <w:b w:val="0"/>
          <w:i w:val="0"/>
        </w:rPr>
      </w:r>
      <w:r>
        <w:t>Note S3. Host subject identifiers are reused between years</w:t>
      </w:r>
    </w:p>
    <w:p>
      <w:pPr/>
      <w:r>
        <w:rPr>
          <w:i/>
          <w:sz w:val="16"/>
        </w:rPr>
      </w:r>
      <w:r>
        <w:rPr>
          <w:b w:val="0"/>
          <w:i w:val="0"/>
        </w:rPr>
      </w:r>
      <w:r/>
      <w:r>
        <w:rPr>
          <w:b w:val="0"/>
          <w:i w:val="0"/>
          <w:color w:val="1F4E79"/>
        </w:rPr>
        <w:t>The MIxS attribute 'host subject id' deposited with each sample carries the field identifier of the fish (e.g. Bue1004). These identifiers were assigned per station and per sampling campaign, and 24 of them are reused between the 2014 and 2015 campaigns for different individuals. Grouping the deposited samples by 'host subject id' alone therefore merges 24 pairs of distinct fish and yields 156 apparent individuals instead of 180.</w:t>
      </w:r>
    </w:p>
    <w:p>
      <w:pPr/>
      <w:r>
        <w:rPr>
          <w:i/>
          <w:sz w:val="16"/>
        </w:rPr>
      </w:r>
      <w:r>
        <w:rPr>
          <w:b w:val="0"/>
          <w:i w:val="0"/>
        </w:rPr>
      </w:r>
      <w:r/>
      <w:r>
        <w:rPr>
          <w:b w:val="0"/>
          <w:i w:val="0"/>
          <w:color w:val="1F4E79"/>
        </w:rPr>
      </w:r>
      <w:r>
        <w:rPr>
          <w:b w:val="0"/>
          <w:i w:val="0"/>
          <w:color w:val="1F4E79"/>
        </w:rPr>
        <w:t>The year is recoverable from the attribute 'original sample name', whose first two characters give the campaign (14 or 15), and from 'collection date'. The unambiguous individual key is therefore the pair (campaign, host subject id). On that key the deposited names yield 181 individuals, one more than the 180 of the genotyping table, and the discrepancy is informative rather than an error in either source: one sample, 15Per2015Ch03A, carries a mistyped campaign prefix — the fish was collected in 2014 and its three other tissues are named 14Per2015Ch01A, 02A and 05A. Keyed on the deposited prefix, that fish is split into a 2014 and a 2015 individual. The correct count is 180 individuals — 79 Parachondrostoma toxostoma, 59 Chondrostoma nasus and 42 hybrids — and the deposited alias is left unchanged, an alias being an identifier rather than a datum; the year is corrected in the 'collection date' attribute. Each individual is represented by four tissues, and each tissue by two library preparations (see Table S</w:t>
      </w:r>
      <w:r>
        <w:rPr>
          <w:b w:val="0"/>
          <w:i w:val="0"/>
          <w:color w:val="1F4E79"/>
        </w:rPr>
        <w:t>3</w:t>
      </w:r>
      <w:r>
        <w:rPr>
          <w:b w:val="0"/>
          <w:i w:val="0"/>
          <w:color w:val="1F4E79"/>
        </w:rPr>
        <w:t>).</w:t>
      </w:r>
    </w:p>
    <w:p>
      <w:pPr/>
      <w:r>
        <w:rPr>
          <w:i/>
          <w:sz w:val="16"/>
        </w:rPr>
      </w:r>
      <w:r>
        <w:rPr>
          <w:b w:val="0"/>
          <w:i w:val="0"/>
        </w:rPr>
      </w:r>
      <w:r/>
      <w:r>
        <w:rPr>
          <w:b w:val="0"/>
          <w:i w:val="0"/>
          <w:color w:val="1F4E79"/>
        </w:rPr>
      </w:r>
      <w:r>
        <w:rPr>
          <w:b w:val="0"/>
          <w:i w:val="0"/>
          <w:color w:val="1F4E79"/>
        </w:rPr>
      </w:r>
      <w:r>
        <w:rPr>
          <w:i/>
          <w:color w:val="888888"/>
          <w:sz w:val="18"/>
        </w:rPr>
        <w:t>[Décidé par JF le 2026-10-03 : le « host subject id » sera préfixé par la campagne (14Bue1004 / 15Bue1004) dans la même correction MODIFY que les dates de Pertuis ; soumission à lancer par JF (identifiants Webin). Réécrire cette note une fois la correction vérifiée sur l'archive.]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2.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