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microbiome-hybrid — questions en suspens pour Jean-François</w:t>
      </w:r>
    </w:p>
    <w:p>
      <w:r>
        <w:rPr>
          <w:b/>
        </w:rPr>
        <w:t xml:space="preserve">État au </w:t>
      </w:r>
      <w:r>
        <w:t>3 octobre 2026, après les réponses d'André du jour (docs/reponses_andre_2026-10-03.md, commit 932e30f) et la mise à jour d'Article.docx (commit 638fd38). Cette version remplace la section 2 de docs/questions_en_suspens_2026-10-03.docx.</w:t>
      </w:r>
    </w:p>
    <w:p>
      <w:pPr>
        <w:pStyle w:val="Heading2"/>
      </w:pPr>
      <w:r>
        <w:t>Ce qui a changé depuis la version du matin</w:t>
      </w:r>
    </w:p>
    <w:p>
      <w:pPr>
        <w:pStyle w:val="ListBullet"/>
      </w:pPr>
      <w:r>
        <w:rPr>
          <w:b/>
        </w:rPr>
        <w:t>Modifiée :</w:t>
      </w:r>
      <w:r>
        <w:t xml:space="preserve"> 2.1 (D2) reste posée, avec une donnée nouvelle : l'effet de position pourrait être en partie un effet de séjour en vivier.</w:t>
      </w:r>
    </w:p>
    <w:p>
      <w:pPr>
        <w:pStyle w:val="ListBullet"/>
      </w:pPr>
      <w:r>
        <w:rPr>
          <w:b/>
        </w:rPr>
        <w:t>Reformulée :</w:t>
      </w:r>
      <w:r>
        <w:t xml:space="preserve"> 2.2 est reformulée. L'ancienne prédiction « délai de dissection contre température » reposait sur une dégradation post-mortem, que le protocole décrit par André écarte.</w:t>
      </w:r>
    </w:p>
    <w:p>
      <w:pPr>
        <w:pStyle w:val="ListBullet"/>
      </w:pPr>
      <w:r>
        <w:rPr>
          <w:b/>
        </w:rPr>
        <w:t>Ajoutées :</w:t>
      </w:r>
      <w:r>
        <w:t xml:space="preserve"> 2.3 prend un point (e), et 2.13 porte sur la référence du contrat EDF et la formulation du Funding.</w:t>
      </w:r>
    </w:p>
    <w:p>
      <w:pPr>
        <w:pStyle w:val="ListBullet"/>
      </w:pPr>
      <w:r>
        <w:rPr>
          <w:b/>
        </w:rPr>
        <w:t>Inchangées :</w:t>
      </w:r>
      <w:r>
        <w:t xml:space="preserve"> 2.4 à 2.12, que les réponses d'André ne touchent pas.</w:t>
      </w:r>
    </w:p>
    <w:p>
      <w:pPr>
        <w:pStyle w:val="Heading2"/>
      </w:pPr>
      <w:r>
        <w:t>En attente d'André, pour information</w:t>
      </w:r>
    </w:p>
    <w:p>
      <w:r>
        <w:t>Trois questions de suivi lui ont été transmises le 3 octobre. Elles ne demandent rien de ta part ; elles restent en note grise dans Article.docx.</w:t>
      </w:r>
    </w:p>
    <w:p>
      <w:pPr>
        <w:pStyle w:val="ListBullet"/>
      </w:pPr>
      <w:r>
        <w:rPr>
          <w:b/>
        </w:rPr>
        <w:t>Autorisations :</w:t>
      </w:r>
      <w:r>
        <w:t xml:space="preserve"> les stations du Suran (Ain) et de l'Ardèche sont-elles couvertes par une autorisation DDT ? André cite celles des Alpes-de-Haute-Provence, des Hautes-Alpes et du Vaucluse.</w:t>
      </w:r>
    </w:p>
    <w:p>
      <w:pPr>
        <w:pStyle w:val="ListBullet"/>
      </w:pPr>
      <w:r>
        <w:rPr>
          <w:b/>
        </w:rPr>
        <w:t>Euthanasie :</w:t>
      </w:r>
      <w:r>
        <w:t xml:space="preserve"> se faisait-elle par dislocation cervicale, juste avant la dissection de chaque poisson ?</w:t>
      </w:r>
    </w:p>
    <w:p>
      <w:pPr>
        <w:pStyle w:val="ListBullet"/>
      </w:pPr>
      <w:r>
        <w:rPr>
          <w:b/>
        </w:rPr>
        <w:t>Conservation :</w:t>
      </w:r>
      <w:r>
        <w:t xml:space="preserve"> le tube en éthanol 95 % destiné au microbiote était-il conservé à −80 °C ?</w:t>
      </w:r>
    </w:p>
    <w:p>
      <w:pPr>
        <w:pStyle w:val="Heading1"/>
      </w:pPr>
      <w:r>
        <w:t>Questions pour Jean-François</w:t>
      </w:r>
    </w:p>
    <w:p>
      <w:r>
        <w:t>Ces arbitrages ne demandent aucun calcul préalable, sauf le test de la question 2.2 si tu le valides. Les chemins indiqués sont relatifs à la racine du projet sur le cluster. Les mentions « modifiée », « reformulée » et « nouvelle » dans le tableau signalent les changements depuis ce matin.</w:t>
      </w:r>
    </w:p>
    <w:tbl>
      <w:tblPr>
        <w:tblStyle w:val="TableGrid"/>
        <w:tblW w:type="auto" w:w="0"/>
        <w:tblLook w:firstColumn="1" w:firstRow="1" w:lastColumn="0" w:lastRow="0" w:noHBand="0" w:noVBand="1" w:val="04A0"/>
      </w:tblPr>
      <w:tblGrid>
        <w:gridCol w:w="2436"/>
        <w:gridCol w:w="2436"/>
        <w:gridCol w:w="2436"/>
        <w:gridCol w:w="2436"/>
      </w:tblGrid>
      <w:tr>
        <w:trPr>
          <w:tblHeader w:val="true"/>
        </w:trPr>
        <w:tc>
          <w:tcPr>
            <w:tcW w:type="dxa" w:w="907"/>
            <w:shd w:val="clear" w:fill="1565C0"/>
          </w:tcPr>
          <w:p>
            <w:pPr>
              <w:spacing w:line="276" w:lineRule="auto"/>
            </w:pPr>
            <w:r>
              <w:rPr>
                <w:sz w:val="22"/>
              </w:rPr>
            </w:r>
            <w:r>
              <w:rPr>
                <w:b/>
                <w:color w:val="FFFFFF"/>
                <w:sz w:val="22"/>
              </w:rPr>
              <w:t>N°</w:t>
            </w:r>
          </w:p>
        </w:tc>
        <w:tc>
          <w:tcPr>
            <w:tcW w:type="dxa" w:w="4762"/>
            <w:shd w:val="clear" w:fill="1565C0"/>
          </w:tcPr>
          <w:p>
            <w:pPr>
              <w:spacing w:line="276" w:lineRule="auto"/>
            </w:pPr>
            <w:r>
              <w:rPr>
                <w:sz w:val="22"/>
              </w:rPr>
            </w:r>
            <w:r>
              <w:rPr>
                <w:b/>
                <w:color w:val="FFFFFF"/>
                <w:sz w:val="22"/>
              </w:rPr>
              <w:t>Objet</w:t>
            </w:r>
          </w:p>
        </w:tc>
        <w:tc>
          <w:tcPr>
            <w:tcW w:type="dxa" w:w="2381"/>
            <w:shd w:val="clear" w:fill="1565C0"/>
          </w:tcPr>
          <w:p>
            <w:pPr>
              <w:spacing w:line="276" w:lineRule="auto"/>
            </w:pPr>
            <w:r>
              <w:rPr>
                <w:sz w:val="22"/>
              </w:rPr>
            </w:r>
            <w:r>
              <w:rPr>
                <w:b/>
                <w:color w:val="FFFFFF"/>
                <w:sz w:val="22"/>
              </w:rPr>
              <w:t>Bloque</w:t>
            </w:r>
          </w:p>
        </w:tc>
        <w:tc>
          <w:tcPr>
            <w:tcW w:type="dxa" w:w="1361"/>
            <w:shd w:val="clear" w:fill="1565C0"/>
          </w:tcPr>
          <w:p>
            <w:pPr>
              <w:spacing w:line="276" w:lineRule="auto"/>
            </w:pPr>
            <w:r>
              <w:rPr>
                <w:sz w:val="22"/>
              </w:rPr>
            </w:r>
            <w:r>
              <w:rPr>
                <w:b/>
                <w:color w:val="FFFFFF"/>
                <w:sz w:val="22"/>
              </w:rPr>
              <w:t>Priorité</w:t>
            </w:r>
          </w:p>
        </w:tc>
      </w:tr>
      <w:tr>
        <w:tc>
          <w:tcPr>
            <w:tcW w:type="dxa" w:w="907"/>
          </w:tcPr>
          <w:p>
            <w:pPr>
              <w:spacing w:line="276" w:lineRule="auto"/>
            </w:pPr>
            <w:r>
              <w:rPr>
                <w:sz w:val="22"/>
              </w:rPr>
              <w:t>2.1</w:t>
            </w:r>
          </w:p>
        </w:tc>
        <w:tc>
          <w:tcPr>
            <w:tcW w:type="dxa" w:w="4762"/>
          </w:tcPr>
          <w:p>
            <w:pPr>
              <w:spacing w:line="276" w:lineRule="auto"/>
            </w:pPr>
            <w:r>
              <w:rPr>
                <w:sz w:val="22"/>
              </w:rPr>
              <w:t>D2 — ce que le texte affirme de l'effet de position (modifiée)</w:t>
            </w:r>
          </w:p>
        </w:tc>
        <w:tc>
          <w:tcPr>
            <w:tcW w:type="dxa" w:w="2381"/>
          </w:tcPr>
          <w:p>
            <w:pPr>
              <w:spacing w:line="276" w:lineRule="auto"/>
            </w:pPr>
            <w:r>
              <w:rPr>
                <w:sz w:val="22"/>
              </w:rPr>
              <w:t>Results, §8.8–8.9</w:t>
            </w:r>
          </w:p>
        </w:tc>
        <w:tc>
          <w:tcPr>
            <w:tcW w:type="dxa" w:w="1361"/>
          </w:tcPr>
          <w:p>
            <w:pPr>
              <w:spacing w:line="276" w:lineRule="auto"/>
            </w:pPr>
            <w:r>
              <w:rPr>
                <w:sz w:val="22"/>
              </w:rPr>
              <w:t>Haute</w:t>
            </w:r>
          </w:p>
        </w:tc>
      </w:tr>
      <w:tr>
        <w:tc>
          <w:tcPr>
            <w:tcW w:type="dxa" w:w="907"/>
          </w:tcPr>
          <w:p>
            <w:pPr>
              <w:spacing w:line="276" w:lineRule="auto"/>
            </w:pPr>
            <w:r>
              <w:rPr>
                <w:sz w:val="22"/>
              </w:rPr>
              <w:t>2.2</w:t>
            </w:r>
          </w:p>
        </w:tc>
        <w:tc>
          <w:tcPr>
            <w:tcW w:type="dxa" w:w="4762"/>
          </w:tcPr>
          <w:p>
            <w:pPr>
              <w:spacing w:line="276" w:lineRule="auto"/>
            </w:pPr>
            <w:r>
              <w:rPr>
                <w:sz w:val="22"/>
              </w:rPr>
              <w:t>Test de l'effet de séjour en vivier, déclaré a priori (reformulée)</w:t>
            </w:r>
          </w:p>
        </w:tc>
        <w:tc>
          <w:tcPr>
            <w:tcW w:type="dxa" w:w="2381"/>
          </w:tcPr>
          <w:p>
            <w:pPr>
              <w:spacing w:line="276" w:lineRule="auto"/>
            </w:pPr>
            <w:r>
              <w:rPr>
                <w:sz w:val="22"/>
              </w:rPr>
              <w:t>Interprétation de l'effet de position</w:t>
            </w:r>
          </w:p>
        </w:tc>
        <w:tc>
          <w:tcPr>
            <w:tcW w:type="dxa" w:w="1361"/>
          </w:tcPr>
          <w:p>
            <w:pPr>
              <w:spacing w:line="276" w:lineRule="auto"/>
            </w:pPr>
            <w:r>
              <w:rPr>
                <w:sz w:val="22"/>
              </w:rPr>
              <w:t>Haute</w:t>
            </w:r>
          </w:p>
        </w:tc>
      </w:tr>
      <w:tr>
        <w:tc>
          <w:tcPr>
            <w:tcW w:type="dxa" w:w="907"/>
          </w:tcPr>
          <w:p>
            <w:pPr>
              <w:spacing w:line="276" w:lineRule="auto"/>
            </w:pPr>
            <w:r>
              <w:rPr>
                <w:sz w:val="22"/>
              </w:rPr>
              <w:t>2.3</w:t>
            </w:r>
          </w:p>
        </w:tc>
        <w:tc>
          <w:tcPr>
            <w:tcW w:type="dxa" w:w="4762"/>
          </w:tcPr>
          <w:p>
            <w:pPr>
              <w:spacing w:line="276" w:lineRule="auto"/>
            </w:pPr>
            <w:r>
              <w:rPr>
                <w:sz w:val="22"/>
              </w:rPr>
              <w:t>Analyses complémentaires à lancer ou non (point e ajouté)</w:t>
            </w:r>
          </w:p>
        </w:tc>
        <w:tc>
          <w:tcPr>
            <w:tcW w:type="dxa" w:w="2381"/>
          </w:tcPr>
          <w:p>
            <w:pPr>
              <w:spacing w:line="276" w:lineRule="auto"/>
            </w:pPr>
            <w:r>
              <w:rPr>
                <w:sz w:val="22"/>
              </w:rPr>
              <w:t>Results</w:t>
            </w:r>
          </w:p>
        </w:tc>
        <w:tc>
          <w:tcPr>
            <w:tcW w:type="dxa" w:w="1361"/>
          </w:tcPr>
          <w:p>
            <w:pPr>
              <w:spacing w:line="276" w:lineRule="auto"/>
            </w:pPr>
            <w:r>
              <w:rPr>
                <w:sz w:val="22"/>
              </w:rPr>
              <w:t>Moyenne</w:t>
            </w:r>
          </w:p>
        </w:tc>
      </w:tr>
      <w:tr>
        <w:tc>
          <w:tcPr>
            <w:tcW w:type="dxa" w:w="907"/>
          </w:tcPr>
          <w:p>
            <w:pPr>
              <w:spacing w:line="276" w:lineRule="auto"/>
            </w:pPr>
            <w:r>
              <w:rPr>
                <w:sz w:val="22"/>
              </w:rPr>
              <w:t>2.4</w:t>
            </w:r>
          </w:p>
        </w:tc>
        <w:tc>
          <w:tcPr>
            <w:tcW w:type="dxa" w:w="4762"/>
          </w:tcPr>
          <w:p>
            <w:pPr>
              <w:spacing w:line="276" w:lineRule="auto"/>
            </w:pPr>
            <w:r>
              <w:rPr>
                <w:sz w:val="22"/>
              </w:rPr>
              <w:t>Abondance différentielle : inclure, et avec quelle méthode</w:t>
            </w:r>
          </w:p>
        </w:tc>
        <w:tc>
          <w:tcPr>
            <w:tcW w:type="dxa" w:w="2381"/>
          </w:tcPr>
          <w:p>
            <w:pPr>
              <w:spacing w:line="276" w:lineRule="auto"/>
            </w:pPr>
            <w:r>
              <w:rPr>
                <w:sz w:val="22"/>
              </w:rPr>
              <w:t>§8.6, Results</w:t>
            </w:r>
          </w:p>
        </w:tc>
        <w:tc>
          <w:tcPr>
            <w:tcW w:type="dxa" w:w="1361"/>
          </w:tcPr>
          <w:p>
            <w:pPr>
              <w:spacing w:line="276" w:lineRule="auto"/>
            </w:pPr>
            <w:r>
              <w:rPr>
                <w:sz w:val="22"/>
              </w:rPr>
              <w:t>Moyenne</w:t>
            </w:r>
          </w:p>
        </w:tc>
      </w:tr>
      <w:tr>
        <w:tc>
          <w:tcPr>
            <w:tcW w:type="dxa" w:w="907"/>
          </w:tcPr>
          <w:p>
            <w:pPr>
              <w:spacing w:line="276" w:lineRule="auto"/>
            </w:pPr>
            <w:r>
              <w:rPr>
                <w:sz w:val="22"/>
              </w:rPr>
              <w:t>2.5</w:t>
            </w:r>
          </w:p>
        </w:tc>
        <w:tc>
          <w:tcPr>
            <w:tcW w:type="dxa" w:w="4762"/>
          </w:tcPr>
          <w:p>
            <w:pPr>
              <w:spacing w:line="276" w:lineRule="auto"/>
            </w:pPr>
            <w:r>
              <w:rPr>
                <w:sz w:val="22"/>
              </w:rPr>
              <w:t>Titre de l'article</w:t>
            </w:r>
          </w:p>
        </w:tc>
        <w:tc>
          <w:tcPr>
            <w:tcW w:type="dxa" w:w="2381"/>
          </w:tcPr>
          <w:p>
            <w:pPr>
              <w:spacing w:line="276" w:lineRule="auto"/>
            </w:pPr>
            <w:r>
              <w:rPr>
                <w:sz w:val="22"/>
              </w:rPr>
              <w:t>Soumission</w:t>
            </w:r>
          </w:p>
        </w:tc>
        <w:tc>
          <w:tcPr>
            <w:tcW w:type="dxa" w:w="1361"/>
          </w:tcPr>
          <w:p>
            <w:pPr>
              <w:spacing w:line="276" w:lineRule="auto"/>
            </w:pPr>
            <w:r>
              <w:rPr>
                <w:sz w:val="22"/>
              </w:rPr>
              <w:t>Moyenne</w:t>
            </w:r>
          </w:p>
        </w:tc>
      </w:tr>
      <w:tr>
        <w:tc>
          <w:tcPr>
            <w:tcW w:type="dxa" w:w="907"/>
          </w:tcPr>
          <w:p>
            <w:pPr>
              <w:spacing w:line="276" w:lineRule="auto"/>
            </w:pPr>
            <w:r>
              <w:rPr>
                <w:sz w:val="22"/>
              </w:rPr>
              <w:t>2.6</w:t>
            </w:r>
          </w:p>
        </w:tc>
        <w:tc>
          <w:tcPr>
            <w:tcW w:type="dxa" w:w="4762"/>
          </w:tcPr>
          <w:p>
            <w:pPr>
              <w:spacing w:line="276" w:lineRule="auto"/>
            </w:pPr>
            <w:r>
              <w:rPr>
                <w:sz w:val="22"/>
              </w:rPr>
              <w:t>Revue cible</w:t>
            </w:r>
          </w:p>
        </w:tc>
        <w:tc>
          <w:tcPr>
            <w:tcW w:type="dxa" w:w="2381"/>
          </w:tcPr>
          <w:p>
            <w:pPr>
              <w:spacing w:line="276" w:lineRule="auto"/>
            </w:pPr>
            <w:r>
              <w:rPr>
                <w:sz w:val="22"/>
              </w:rPr>
              <w:t>Mise en forme, longueur</w:t>
            </w:r>
          </w:p>
        </w:tc>
        <w:tc>
          <w:tcPr>
            <w:tcW w:type="dxa" w:w="1361"/>
          </w:tcPr>
          <w:p>
            <w:pPr>
              <w:spacing w:line="276" w:lineRule="auto"/>
            </w:pPr>
            <w:r>
              <w:rPr>
                <w:sz w:val="22"/>
              </w:rPr>
              <w:t>Moyenne</w:t>
            </w:r>
          </w:p>
        </w:tc>
      </w:tr>
      <w:tr>
        <w:tc>
          <w:tcPr>
            <w:tcW w:type="dxa" w:w="907"/>
          </w:tcPr>
          <w:p>
            <w:pPr>
              <w:spacing w:line="276" w:lineRule="auto"/>
            </w:pPr>
            <w:r>
              <w:rPr>
                <w:sz w:val="22"/>
              </w:rPr>
              <w:t>2.7</w:t>
            </w:r>
          </w:p>
        </w:tc>
        <w:tc>
          <w:tcPr>
            <w:tcW w:type="dxa" w:w="4762"/>
          </w:tcPr>
          <w:p>
            <w:pPr>
              <w:spacing w:line="276" w:lineRule="auto"/>
            </w:pPr>
            <w:r>
              <w:rPr>
                <w:sz w:val="22"/>
              </w:rPr>
              <w:t>Dépôt de code et DOI Zenodo (§9)</w:t>
            </w:r>
          </w:p>
        </w:tc>
        <w:tc>
          <w:tcPr>
            <w:tcW w:type="dxa" w:w="2381"/>
          </w:tcPr>
          <w:p>
            <w:pPr>
              <w:spacing w:line="276" w:lineRule="auto"/>
            </w:pPr>
            <w:r>
              <w:rPr>
                <w:sz w:val="22"/>
              </w:rPr>
              <w:t>Soumission</w:t>
            </w:r>
          </w:p>
        </w:tc>
        <w:tc>
          <w:tcPr>
            <w:tcW w:type="dxa" w:w="1361"/>
          </w:tcPr>
          <w:p>
            <w:pPr>
              <w:spacing w:line="276" w:lineRule="auto"/>
            </w:pPr>
            <w:r>
              <w:rPr>
                <w:sz w:val="22"/>
              </w:rPr>
              <w:t>Moyenne</w:t>
            </w:r>
          </w:p>
        </w:tc>
      </w:tr>
      <w:tr>
        <w:tc>
          <w:tcPr>
            <w:tcW w:type="dxa" w:w="907"/>
          </w:tcPr>
          <w:p>
            <w:pPr>
              <w:spacing w:line="276" w:lineRule="auto"/>
            </w:pPr>
            <w:r>
              <w:rPr>
                <w:sz w:val="22"/>
              </w:rPr>
              <w:t>2.8</w:t>
            </w:r>
          </w:p>
        </w:tc>
        <w:tc>
          <w:tcPr>
            <w:tcW w:type="dxa" w:w="4762"/>
          </w:tcPr>
          <w:p>
            <w:pPr>
              <w:spacing w:line="276" w:lineRule="auto"/>
            </w:pPr>
            <w:r>
              <w:rPr>
                <w:sz w:val="22"/>
              </w:rPr>
              <w:t>Pertinence de Wang et al. 2015 et Sevellec et al. 2014</w:t>
            </w:r>
          </w:p>
        </w:tc>
        <w:tc>
          <w:tcPr>
            <w:tcW w:type="dxa" w:w="2381"/>
          </w:tcPr>
          <w:p>
            <w:pPr>
              <w:spacing w:line="276" w:lineRule="auto"/>
            </w:pPr>
            <w:r>
              <w:rPr>
                <w:sz w:val="22"/>
              </w:rPr>
              <w:t>Introduction</w:t>
            </w:r>
          </w:p>
        </w:tc>
        <w:tc>
          <w:tcPr>
            <w:tcW w:type="dxa" w:w="1361"/>
          </w:tcPr>
          <w:p>
            <w:pPr>
              <w:spacing w:line="276" w:lineRule="auto"/>
            </w:pPr>
            <w:r>
              <w:rPr>
                <w:sz w:val="22"/>
              </w:rPr>
              <w:t>Basse</w:t>
            </w:r>
          </w:p>
        </w:tc>
      </w:tr>
      <w:tr>
        <w:tc>
          <w:tcPr>
            <w:tcW w:type="dxa" w:w="907"/>
          </w:tcPr>
          <w:p>
            <w:pPr>
              <w:spacing w:line="276" w:lineRule="auto"/>
            </w:pPr>
            <w:r>
              <w:rPr>
                <w:sz w:val="22"/>
              </w:rPr>
              <w:t>2.9</w:t>
            </w:r>
          </w:p>
        </w:tc>
        <w:tc>
          <w:tcPr>
            <w:tcW w:type="dxa" w:w="4762"/>
          </w:tcPr>
          <w:p>
            <w:pPr>
              <w:spacing w:line="276" w:lineRule="auto"/>
            </w:pPr>
            <w:r>
              <w:rPr>
                <w:sz w:val="22"/>
              </w:rPr>
              <w:t>Table de génotypage individuel : numéro et place</w:t>
            </w:r>
          </w:p>
        </w:tc>
        <w:tc>
          <w:tcPr>
            <w:tcW w:type="dxa" w:w="2381"/>
          </w:tcPr>
          <w:p>
            <w:pPr>
              <w:spacing w:line="276" w:lineRule="auto"/>
            </w:pPr>
            <w:r>
              <w:rPr>
                <w:sz w:val="22"/>
              </w:rPr>
              <w:t>Supplément</w:t>
            </w:r>
          </w:p>
        </w:tc>
        <w:tc>
          <w:tcPr>
            <w:tcW w:type="dxa" w:w="1361"/>
          </w:tcPr>
          <w:p>
            <w:pPr>
              <w:spacing w:line="276" w:lineRule="auto"/>
            </w:pPr>
            <w:r>
              <w:rPr>
                <w:sz w:val="22"/>
              </w:rPr>
              <w:t>Basse</w:t>
            </w:r>
          </w:p>
        </w:tc>
      </w:tr>
      <w:tr>
        <w:tc>
          <w:tcPr>
            <w:tcW w:type="dxa" w:w="907"/>
          </w:tcPr>
          <w:p>
            <w:pPr>
              <w:spacing w:line="276" w:lineRule="auto"/>
            </w:pPr>
            <w:r>
              <w:rPr>
                <w:sz w:val="22"/>
              </w:rPr>
              <w:t>2.10</w:t>
            </w:r>
          </w:p>
        </w:tc>
        <w:tc>
          <w:tcPr>
            <w:tcW w:type="dxa" w:w="4762"/>
          </w:tcPr>
          <w:p>
            <w:pPr>
              <w:spacing w:line="276" w:lineRule="auto"/>
            </w:pPr>
            <w:r>
              <w:rPr>
                <w:sz w:val="22"/>
              </w:rPr>
              <w:t>ENA : soumettre les dates de Pertuis et le host subject id</w:t>
            </w:r>
          </w:p>
        </w:tc>
        <w:tc>
          <w:tcPr>
            <w:tcW w:type="dxa" w:w="2381"/>
          </w:tcPr>
          <w:p>
            <w:pPr>
              <w:spacing w:line="276" w:lineRule="auto"/>
            </w:pPr>
            <w:r>
              <w:rPr>
                <w:sz w:val="22"/>
              </w:rPr>
              <w:t>Dépôt, §9, Note S2</w:t>
            </w:r>
          </w:p>
        </w:tc>
        <w:tc>
          <w:tcPr>
            <w:tcW w:type="dxa" w:w="1361"/>
          </w:tcPr>
          <w:p>
            <w:pPr>
              <w:spacing w:line="276" w:lineRule="auto"/>
            </w:pPr>
            <w:r>
              <w:rPr>
                <w:sz w:val="22"/>
              </w:rPr>
              <w:t>Haute</w:t>
            </w:r>
          </w:p>
        </w:tc>
      </w:tr>
      <w:tr>
        <w:tc>
          <w:tcPr>
            <w:tcW w:type="dxa" w:w="907"/>
          </w:tcPr>
          <w:p>
            <w:pPr>
              <w:spacing w:line="276" w:lineRule="auto"/>
            </w:pPr>
            <w:r>
              <w:rPr>
                <w:sz w:val="22"/>
              </w:rPr>
              <w:t>2.11</w:t>
            </w:r>
          </w:p>
        </w:tc>
        <w:tc>
          <w:tcPr>
            <w:tcW w:type="dxa" w:w="4762"/>
          </w:tcPr>
          <w:p>
            <w:pPr>
              <w:spacing w:line="276" w:lineRule="auto"/>
            </w:pPr>
            <w:r>
              <w:rPr>
                <w:sz w:val="22"/>
              </w:rPr>
              <w:t>ENA : restructurer 2 304 experiments en 1 536</w:t>
            </w:r>
          </w:p>
        </w:tc>
        <w:tc>
          <w:tcPr>
            <w:tcW w:type="dxa" w:w="2381"/>
          </w:tcPr>
          <w:p>
            <w:pPr>
              <w:spacing w:line="276" w:lineRule="auto"/>
            </w:pPr>
            <w:r>
              <w:rPr>
                <w:sz w:val="22"/>
              </w:rPr>
              <w:t>Dépôt</w:t>
            </w:r>
          </w:p>
        </w:tc>
        <w:tc>
          <w:tcPr>
            <w:tcW w:type="dxa" w:w="1361"/>
          </w:tcPr>
          <w:p>
            <w:pPr>
              <w:spacing w:line="276" w:lineRule="auto"/>
            </w:pPr>
            <w:r>
              <w:rPr>
                <w:sz w:val="22"/>
              </w:rPr>
              <w:t>Basse</w:t>
            </w:r>
          </w:p>
        </w:tc>
      </w:tr>
      <w:tr>
        <w:tc>
          <w:tcPr>
            <w:tcW w:type="dxa" w:w="907"/>
          </w:tcPr>
          <w:p>
            <w:pPr>
              <w:spacing w:line="276" w:lineRule="auto"/>
            </w:pPr>
            <w:r>
              <w:rPr>
                <w:sz w:val="22"/>
              </w:rPr>
              <w:t>2.12</w:t>
            </w:r>
          </w:p>
        </w:tc>
        <w:tc>
          <w:tcPr>
            <w:tcW w:type="dxa" w:w="4762"/>
          </w:tcPr>
          <w:p>
            <w:pPr>
              <w:spacing w:line="276" w:lineRule="auto"/>
            </w:pPr>
            <w:r>
              <w:rPr>
                <w:sz w:val="22"/>
              </w:rPr>
              <w:t>ENA : date d'ouverture publique</w:t>
            </w:r>
          </w:p>
        </w:tc>
        <w:tc>
          <w:tcPr>
            <w:tcW w:type="dxa" w:w="2381"/>
          </w:tcPr>
          <w:p>
            <w:pPr>
              <w:spacing w:line="276" w:lineRule="auto"/>
            </w:pPr>
            <w:r>
              <w:rPr>
                <w:sz w:val="22"/>
              </w:rPr>
              <w:t>Dépôt</w:t>
            </w:r>
          </w:p>
        </w:tc>
        <w:tc>
          <w:tcPr>
            <w:tcW w:type="dxa" w:w="1361"/>
          </w:tcPr>
          <w:p>
            <w:pPr>
              <w:spacing w:line="276" w:lineRule="auto"/>
            </w:pPr>
            <w:r>
              <w:rPr>
                <w:sz w:val="22"/>
              </w:rPr>
              <w:t>Basse</w:t>
            </w:r>
          </w:p>
        </w:tc>
      </w:tr>
      <w:tr>
        <w:tc>
          <w:tcPr>
            <w:tcW w:type="dxa" w:w="907"/>
          </w:tcPr>
          <w:p>
            <w:pPr>
              <w:spacing w:line="276" w:lineRule="auto"/>
            </w:pPr>
            <w:r>
              <w:rPr>
                <w:sz w:val="22"/>
              </w:rPr>
              <w:t>2.13</w:t>
            </w:r>
          </w:p>
        </w:tc>
        <w:tc>
          <w:tcPr>
            <w:tcW w:type="dxa" w:w="4762"/>
          </w:tcPr>
          <w:p>
            <w:pPr>
              <w:spacing w:line="276" w:lineRule="auto"/>
            </w:pPr>
            <w:r>
              <w:rPr>
                <w:sz w:val="22"/>
              </w:rPr>
              <w:t>Funding : référence du contrat et formulation (nouvelle)</w:t>
            </w:r>
          </w:p>
        </w:tc>
        <w:tc>
          <w:tcPr>
            <w:tcW w:type="dxa" w:w="2381"/>
          </w:tcPr>
          <w:p>
            <w:pPr>
              <w:spacing w:line="276" w:lineRule="auto"/>
            </w:pPr>
            <w:r>
              <w:rPr>
                <w:sz w:val="22"/>
              </w:rPr>
              <w:t>Soumission</w:t>
            </w:r>
          </w:p>
        </w:tc>
        <w:tc>
          <w:tcPr>
            <w:tcW w:type="dxa" w:w="1361"/>
          </w:tcPr>
          <w:p>
            <w:pPr>
              <w:spacing w:line="276" w:lineRule="auto"/>
            </w:pPr>
            <w:r>
              <w:rPr>
                <w:sz w:val="22"/>
              </w:rPr>
              <w:t>Moyenne</w:t>
            </w:r>
          </w:p>
        </w:tc>
      </w:tr>
    </w:tbl>
    <w:p/>
    <w:p>
      <w:pPr>
        <w:pStyle w:val="Heading2"/>
      </w:pPr>
      <w:r>
        <w:t>Analyse et contenu des Results</w:t>
      </w:r>
    </w:p>
    <w:p>
      <w:pPr>
        <w:pStyle w:val="Heading3"/>
      </w:pPr>
      <w:r>
        <w:t>2.1 — D2 : ce que le texte affirme de l'effet de position (modifiée)</w:t>
      </w:r>
    </w:p>
    <w:p>
      <w:r>
        <w:rPr>
          <w:b/>
        </w:rPr>
        <w:t xml:space="preserve">Priorité : </w:t>
      </w:r>
      <w:r>
        <w:t>haute</w:t>
      </w:r>
    </w:p>
    <w:p>
      <w:r>
        <w:rPr>
          <w:b/>
        </w:rPr>
        <w:t xml:space="preserve">Contexte. </w:t>
      </w:r>
      <w:r>
        <w:t>Avec D2, la colonne de plaque est sortie du modèle principal et conservée en sensibilité. Mais sur les 32 cellules de la Table S8, 14 diffèrent entre modèles avec et sans position, dont 8 changent de classe (robuste ↔ partiel ↔ aucun) : 5 en passe 1, 3 en passe 2. En passe 2 par exemple, Jaccard/hindgut et UniFrac non pondéré/midgut perdent leur robustesse sans position. Le résultat caudal en UniFrac pondéré ne dépend pas de ce choix. Référence : docs/recalcul/note_recalcul_2passes.md §5 et d2_avec_vs_sans_position.csv. Donnée nouvelle du 3 octobre : à cinq stations sur neuf, la colonne de plaque suit l'ordre de dissection (ρ de Spearman de 0,87 à 0,95), donc la durée de séjour en vivier. Ce que nous appelons effet de position pourrait en partie être un effet de séjour. C'est une hypothèse, que la question 2.2 propose de tester.</w:t>
      </w:r>
    </w:p>
    <w:p>
      <w:r>
        <w:rPr>
          <w:b/>
        </w:rPr>
        <w:t xml:space="preserve">Question. </w:t>
      </w:r>
      <w:r>
        <w:t>Que doit énoncer le texte ? Quatre options : (a) le modèle sans position fait foi, et le texte signale chaque conclusion qui change avec la position ; (b) par analogie avec la règle D7, seules les conclusions stables dans les deux modèles sont énoncées comme établies, les autres étant rapportées comme dépendantes de la position ; (c) les deux versions de la Table S8 sont présentées à égalité, sans hiérarchie ; (d) surseoir à D2 jusqu'au résultat du test 2.2, puisqu'il pourrait changer la nature de ce que la covariable « position » représente.</w:t>
      </w:r>
    </w:p>
    <w:p>
      <w:r>
        <w:rPr>
          <w:b/>
        </w:rPr>
        <w:t xml:space="preserve">Ce qui en dépend. </w:t>
      </w:r>
      <w:r>
        <w:t>Les §8.8 et §8.9, et la formulation des résultats par compartiment. C'est le dernier arbitrage d'analyse avant l'indice 4H.</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2.2 — Test de l'effet de séjour en vivier, déclaré a priori (reformulée)</w:t>
      </w:r>
    </w:p>
    <w:p>
      <w:r>
        <w:rPr>
          <w:b/>
        </w:rPr>
        <w:t xml:space="preserve">Priorité : </w:t>
      </w:r>
      <w:r>
        <w:t>haute</w:t>
      </w:r>
    </w:p>
    <w:p>
      <w:r>
        <w:rPr>
          <w:b/>
        </w:rPr>
        <w:t xml:space="preserve">Contexte. </w:t>
      </w:r>
      <w:r>
        <w:t>André indique que les poissons restent vivants en vivier, dans l'eau de la rivière, jusqu'à leur dissection, qui prend 4 à 6 min par poisson, toujours dans le même ordre (caudale, branchie, hindgut, midgut). L'intervalle post-mortem est donc court et identique pour toutes les catégories : l'ancienne prédiction, selon laquelle un délai post-mortem toucherait d'abord l'intestin, est écartée par construction du protocole. Ce qui reste confondu avec la catégorie, c'est la durée de séjour en vivier : de quelques minutes à environ 2 h, les hotus étant traités en premier. On ne sait pas a priori quel compartiment un tel séjour toucherait. Un test existe : aux quatre stations où la colonne de plaque et l'ordre de dissection se découplent (Chavannes ρ = 0,008, Pont-d'Ain 0,17, Avignon 0,37, Buëch 0,39 ; 92 individus), on peut comparer un modèle avec la colonne et un modèle avec le rang de dissection. Chavannes-sur-Suran ne porte qu'une catégorie (19 Pt) : un effet de rang n'y peut pas être un effet de catégorie.</w:t>
      </w:r>
    </w:p>
    <w:p>
      <w:r>
        <w:rPr>
          <w:b/>
        </w:rPr>
        <w:t xml:space="preserve">Question. </w:t>
      </w:r>
      <w:r>
        <w:t>Valides-tu ce test comme analyse déclarée a priori, à consigner dans DECISIONS.md avant de le lancer ? Si oui, quelle règle de lecture retiens-tu : par exemple, si le rang de dissection explique la composition là où la colonne ne l'explique pas, l'effet de position est rapporté comme un effet de séjour probable ; dans le cas inverse, comme un artefact de plaque ?</w:t>
      </w:r>
    </w:p>
    <w:p>
      <w:r>
        <w:rPr>
          <w:b/>
        </w:rPr>
        <w:t xml:space="preserve">Ce qui en dépend. </w:t>
      </w:r>
      <w:r>
        <w:t>La nature de la covariable « position », la phrase du §8.8 qui cite aujourd'hui « the delay between capture and dissection », et la discussion des effets digestifs.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2.3 — Analyses complémentaires : lesquelles lancer (point e ajouté)</w:t>
      </w:r>
    </w:p>
    <w:p>
      <w:r>
        <w:rPr>
          <w:b/>
        </w:rPr>
        <w:t xml:space="preserve">Priorité : </w:t>
      </w:r>
      <w:r>
        <w:t>moyenne</w:t>
      </w:r>
    </w:p>
    <w:p>
      <w:r>
        <w:rPr>
          <w:b/>
        </w:rPr>
        <w:t xml:space="preserve">Contexte. </w:t>
      </w:r>
      <w:r>
        <w:t>Cinq points d'analyse restent ouverts, indépendamment de l'indice 4H dont les paramètres sont figés (D5).</w:t>
      </w:r>
    </w:p>
    <w:p>
      <w:r>
        <w:rPr>
          <w:b/>
        </w:rPr>
        <w:t xml:space="preserve">Question. </w:t>
      </w:r>
      <w:r>
        <w:t>Lesquelles faut-il lancer ? (a) Le témoin d'effectif à 500 lectures, pour établir la cause de l'affaiblissement du signal caudal. (b) Un test isolant le mécanisme de dilution du contraste Hy–Pt par les quasi-purs ; à défaut, il sera présenté comme une hypothèse. (c) L'exploitation de Faith PD, déjà calculé. (d) Une nouvelle partition de variance (R8) sous la règle D7, sinon R8 est retiré du texte. (e) Le test de la question 2.2, si tu le valides.</w:t>
      </w:r>
    </w:p>
    <w:p>
      <w:r>
        <w:rPr>
          <w:b/>
        </w:rPr>
        <w:t xml:space="preserve">Ce qui en dépend. </w:t>
      </w:r>
      <w:r>
        <w:t>Le volume de calcul restant et la longueur des Results.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2.4 — Abondance différentielle</w:t>
      </w:r>
    </w:p>
    <w:p>
      <w:r>
        <w:rPr>
          <w:b/>
        </w:rPr>
        <w:t xml:space="preserve">Priorité : </w:t>
      </w:r>
      <w:r>
        <w:t>moyenne</w:t>
      </w:r>
    </w:p>
    <w:p>
      <w:r>
        <w:rPr>
          <w:b/>
        </w:rPr>
        <w:t xml:space="preserve">Contexte. </w:t>
      </w:r>
      <w:r>
        <w:t>L'abondance différentielle figure dans le plan d'analyse comme « méthode à choisir » (registre A_FAIRE) ; aucune méthode n'est retenue et la règle D7 ne couvre pas ce cas (docs/decision_D7_metrique.md).</w:t>
      </w:r>
    </w:p>
    <w:p>
      <w:r>
        <w:rPr>
          <w:b/>
        </w:rPr>
        <w:t xml:space="preserve">Question. </w:t>
      </w:r>
      <w:r>
        <w:t>L'article doit-il comporter une analyse d'abondance différentielle ? Si oui, avec quelle méthode compositionnelle (par exemple ANCOM-BC2, ALDEx2 ou MaAsLin2), et à quel rang taxonomique ?</w:t>
      </w:r>
    </w:p>
    <w:p>
      <w:r>
        <w:rPr>
          <w:b/>
        </w:rPr>
        <w:t xml:space="preserve">Ce qui en dépend. </w:t>
      </w:r>
      <w:r>
        <w:t>Le §8.6 et une section des Results.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2"/>
      </w:pPr>
      <w:r>
        <w:t>Manuscrit</w:t>
      </w:r>
    </w:p>
    <w:p>
      <w:pPr>
        <w:pStyle w:val="Heading3"/>
      </w:pPr>
      <w:r>
        <w:t>2.5 — Titre de l'article</w:t>
      </w:r>
    </w:p>
    <w:p>
      <w:r>
        <w:rPr>
          <w:b/>
        </w:rPr>
        <w:t xml:space="preserve">Priorité : </w:t>
      </w:r>
      <w:r>
        <w:t>moyenne</w:t>
      </w:r>
    </w:p>
    <w:p>
      <w:r>
        <w:rPr>
          <w:b/>
        </w:rPr>
        <w:t xml:space="preserve">Contexte. </w:t>
      </w:r>
      <w:r>
        <w:t>Le document n'a pas de titre : « Introduction » et « Materials and Methods » sont deux titres de même niveau (note éditoriale i). Le supplément porte déjà le sous-titre « Host-associated bacterial microbiota of hybridising cyprinid fishes ».</w:t>
      </w:r>
    </w:p>
    <w:p>
      <w:r>
        <w:rPr>
          <w:b/>
        </w:rPr>
        <w:t xml:space="preserve">Question. </w:t>
      </w:r>
      <w:r>
        <w:t>Quel titre retiens-tu ? Faut-il le dériver de ce sous-titre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2.6 — Revue cible</w:t>
      </w:r>
    </w:p>
    <w:p>
      <w:r>
        <w:rPr>
          <w:b/>
        </w:rPr>
        <w:t xml:space="preserve">Priorité : </w:t>
      </w:r>
      <w:r>
        <w:t>moyenne</w:t>
      </w:r>
    </w:p>
    <w:p>
      <w:r>
        <w:rPr>
          <w:b/>
        </w:rPr>
        <w:t xml:space="preserve">Contexte. </w:t>
      </w:r>
      <w:r>
        <w:t>La présélection docs/manuscrit_animal_microbiome/journal_shortlist.csv classe en premier rang Animal Microbiome, FEMS Microbiology Ecology et Microbial Ecology, et en second rang Molecular Ecology, Environmental Microbiology et The ISME Journal. Le dossier porte le nom d'Animal Microbiome, mais la cible n'est consignée nulle part comme décision.</w:t>
      </w:r>
    </w:p>
    <w:p>
      <w:r>
        <w:rPr>
          <w:b/>
        </w:rPr>
        <w:t xml:space="preserve">Question. </w:t>
      </w:r>
      <w:r>
        <w:t>Quelle revue vises-tu en premier, et laquelle en repli ?</w:t>
      </w:r>
    </w:p>
    <w:p>
      <w:r>
        <w:rPr>
          <w:b/>
        </w:rPr>
        <w:t xml:space="preserve">Ce qui en dépend. </w:t>
      </w:r>
      <w:r>
        <w:t>La longueur, le format des références et la forme du supplément.</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2.7 — Dépôt de code et DOI Zenodo (§9)</w:t>
      </w:r>
    </w:p>
    <w:p>
      <w:r>
        <w:rPr>
          <w:b/>
        </w:rPr>
        <w:t xml:space="preserve">Priorité : </w:t>
      </w:r>
      <w:r>
        <w:t>moyenne</w:t>
      </w:r>
    </w:p>
    <w:p>
      <w:r>
        <w:rPr>
          <w:b/>
        </w:rPr>
        <w:t xml:space="preserve">Contexte. </w:t>
      </w:r>
      <w:r>
        <w:t>Le §9 porte une note « À COMPLÉTER » : lien vers le dépôt de code et DOI Zenodo. Le miroir GitHub du projet est actuellement privé.</w:t>
      </w:r>
    </w:p>
    <w:p>
      <w:r>
        <w:rPr>
          <w:b/>
        </w:rPr>
        <w:t xml:space="preserve">Question. </w:t>
      </w:r>
      <w:r>
        <w:t>Le dépôt sera-t-il rendu public à la soumission ? Faut-il archiver une version sur Zenodo pour obtenir un DOI, et laquelle (le commit de soumission) ?</w:t>
      </w:r>
    </w:p>
    <w:p>
      <w:r>
        <w:rPr>
          <w:b/>
        </w:rPr>
        <w:t xml:space="preserve">Ce qui en dépend. </w:t>
      </w:r>
      <w:r>
        <w:t>Le §9 (Reproducibility and data availability).</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2.8 — Références Wang et al. (2015) et Sevellec et al. (2014)</w:t>
      </w:r>
    </w:p>
    <w:p>
      <w:r>
        <w:rPr>
          <w:b/>
        </w:rPr>
        <w:t xml:space="preserve">Priorité : </w:t>
      </w:r>
      <w:r>
        <w:t>basse</w:t>
      </w:r>
    </w:p>
    <w:p>
      <w:r>
        <w:rPr>
          <w:b/>
        </w:rPr>
        <w:t xml:space="preserve">Contexte. </w:t>
      </w:r>
      <w:r>
        <w:t>Ces deux références viennent de la liste du manuscrit d'origine et n'ont pas été relues en texte intégral (note éditoriale ii).</w:t>
      </w:r>
    </w:p>
    <w:p>
      <w:r>
        <w:rPr>
          <w:b/>
        </w:rPr>
        <w:t xml:space="preserve">Question. </w:t>
      </w:r>
      <w:r>
        <w:t>Restent-elles pertinentes à l'endroit où elles sont citées dans l'introduction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2.9 — Table de génotypage individuel</w:t>
      </w:r>
    </w:p>
    <w:p>
      <w:r>
        <w:rPr>
          <w:b/>
        </w:rPr>
        <w:t xml:space="preserve">Priorité : </w:t>
      </w:r>
      <w:r>
        <w:t>basse</w:t>
      </w:r>
    </w:p>
    <w:p>
      <w:r>
        <w:rPr>
          <w:b/>
        </w:rPr>
        <w:t xml:space="preserve">Contexte. </w:t>
      </w:r>
      <w:r>
        <w:t>La table docs/manuscrit/table_genotypes_individuels.csv (180 lignes, 17 colonnes) est prête, avec ton arbitrage du 30/09 appliqué. Elle n'est pas encore insérée dans le supplément.</w:t>
      </w:r>
    </w:p>
    <w:p>
      <w:r>
        <w:rPr>
          <w:b/>
        </w:rPr>
        <w:t xml:space="preserve">Question. </w:t>
      </w:r>
      <w:r>
        <w:t>Sous quel numéro l'insérer (nouvelle Table S10, ou insertion après la Table S1)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2.13 — Funding : référence du contrat et formulation (nouvelle)</w:t>
      </w:r>
    </w:p>
    <w:p>
      <w:r>
        <w:rPr>
          <w:b/>
        </w:rPr>
        <w:t xml:space="preserve">Priorité : </w:t>
      </w:r>
      <w:r>
        <w:t>moyenne</w:t>
      </w:r>
    </w:p>
    <w:p>
      <w:r>
        <w:rPr>
          <w:b/>
        </w:rPr>
        <w:t xml:space="preserve">Contexte. </w:t>
      </w:r>
      <w:r>
        <w:t>André confirme le 3 octobre qu'EDF a financé la thèse d'Arnaud Ungaro et donne le nom exact de la Fédération (« Fédération de l'Ain pour la pêche et la protection des milieux aquatiques »). Il ne fournit aucune référence de contrat. Le Funding d'Article.docx est réécrit en combinant ses deux réponses : le contrat qui finançait Guivier et al. (2017) dans le cadre de FACIES serait aussi celui qui a financé la thèse d'A. Ungaro. Ce rattachement est une inférence ; aucune des deux réponses ne le dit explicitement.</w:t>
      </w:r>
    </w:p>
    <w:p>
      <w:r>
        <w:rPr>
          <w:b/>
        </w:rPr>
        <w:t xml:space="preserve">Question. </w:t>
      </w:r>
      <w:r>
        <w:t>(a) Faut-il citer EDF sans numéro de contrat, ou demander la référence à EDF ? (b) Le rattachement de la thèse d'A. Ungaro au contrat FACIES est-il exact ?</w:t>
      </w:r>
    </w:p>
    <w:p>
      <w:r>
        <w:rPr>
          <w:b/>
        </w:rPr>
        <w:t xml:space="preserve">Ce qui en dépend. </w:t>
      </w:r>
      <w:r>
        <w:t>La section Funding.</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2"/>
      </w:pPr>
      <w:r>
        <w:t>Dépôt ENA PRJEB124417</w:t>
      </w:r>
    </w:p>
    <w:p>
      <w:pPr>
        <w:pStyle w:val="Heading3"/>
      </w:pPr>
      <w:r>
        <w:t>2.10 — Soumettre les deux corrections prêtes</w:t>
      </w:r>
    </w:p>
    <w:p>
      <w:r>
        <w:rPr>
          <w:b/>
        </w:rPr>
        <w:t xml:space="preserve">Priorité : </w:t>
      </w:r>
      <w:r>
        <w:t>haute — seule action en attente sur le dépôt</w:t>
      </w:r>
    </w:p>
    <w:p>
      <w:r>
        <w:rPr>
          <w:b/>
        </w:rPr>
        <w:t xml:space="preserve">Contexte. </w:t>
      </w:r>
      <w:r>
        <w:t>Deux tables de correction sont prêtes et ne se recouvrent pas : ena_corrections_pertuis_dates.tsv (44 échantillons, dates décidées par André) et ena_corrections_subject_id.tsv (727 lignes : 156 identifiants actuels deviennent 180 sujets, préfixés par la campagne, comme 14Bue1004 / 15Bue1004). La construction du MODIFY est testée (771 corrections) et une seule soumission suffit. Le préfixage correspond à la note « À TRANCHER » de la Note S2 du supplément.</w:t>
      </w:r>
    </w:p>
    <w:p>
      <w:r>
        <w:rPr>
          <w:b/>
        </w:rPr>
        <w:t xml:space="preserve">Question. </w:t>
      </w:r>
      <w:r>
        <w:t>(a) Donnes-tu ton accord pour soumettre les dates de Pertuis ? (b) Veux-tu rendre le host subject id unique par préfixage de la campagne ? (c) Si oui aux deux, préfères-tu une seule soumission ? Dans tous les cas, c'est toi qui lances le script, puisque les identifiants Webin sont saisis au clavier.</w:t>
      </w:r>
    </w:p>
    <w:p>
      <w:r>
        <w:rPr>
          <w:b/>
        </w:rPr>
        <w:t xml:space="preserve">Ce qui en dépend. </w:t>
      </w:r>
      <w:r>
        <w:t>Le §9 de l'article et la Note S2 du supplément, qui doivent être mis à jour après soumission. Le vérificateur 7_verifier_exhaustif.sh devra intégrer les tables soumises.</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2.11 — Restructuration du modèle de dépôt</w:t>
      </w:r>
    </w:p>
    <w:p>
      <w:r>
        <w:rPr>
          <w:b/>
        </w:rPr>
        <w:t xml:space="preserve">Priorité : </w:t>
      </w:r>
      <w:r>
        <w:t>basse</w:t>
      </w:r>
    </w:p>
    <w:p>
      <w:r>
        <w:rPr>
          <w:b/>
        </w:rPr>
        <w:t xml:space="preserve">Contexte. </w:t>
      </w:r>
      <w:r>
        <w:t>Le dépôt déclare 2 304 experiments, alors que durance2 et durance3 sont deux séquençages d'une même préparation de librairies. Le modèle cohérent compte 1 536 experiments pour 2 304 runs. Il s'agit d'une restructuration (fusionner des objets, repointer des runs) et non d'un MODIFY. C'est aussi la structure nichée que le §8.7 décrit.</w:t>
      </w:r>
    </w:p>
    <w:p>
      <w:r>
        <w:rPr>
          <w:b/>
        </w:rPr>
        <w:t xml:space="preserve">Question. </w:t>
      </w:r>
      <w:r>
        <w:t>Faut-il l'entreprendre, éventuellement avec l'assistance de l'ENA, et à quel moment par rapport à la soumission de l'article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p>
      <w:pPr>
        <w:pStyle w:val="Heading3"/>
      </w:pPr>
      <w:r>
        <w:t>2.12 — Ouverture publique du dépôt</w:t>
      </w:r>
    </w:p>
    <w:p>
      <w:r>
        <w:rPr>
          <w:b/>
        </w:rPr>
        <w:t xml:space="preserve">Priorité : </w:t>
      </w:r>
      <w:r>
        <w:t>basse</w:t>
      </w:r>
    </w:p>
    <w:p>
      <w:r>
        <w:rPr>
          <w:b/>
        </w:rPr>
        <w:t xml:space="preserve">Contexte. </w:t>
      </w:r>
      <w:r>
        <w:t>Le dépôt est en ligne mais non public.</w:t>
      </w:r>
    </w:p>
    <w:p>
      <w:r>
        <w:rPr>
          <w:b/>
        </w:rPr>
        <w:t xml:space="preserve">Question. </w:t>
      </w:r>
      <w:r>
        <w:t>Confirmes-tu une ouverture à la soumission de l'article, ou préfères-tu à l'acceptation ?</w:t>
      </w:r>
    </w:p>
    <w:p>
      <w:pPr>
        <w:shd w:val="clear" w:color="auto" w:fill="F5F5F5"/>
        <w:pBdr>
          <w:top w:val="single" w:sz="4" w:space="4" w:color="757575"/>
          <w:left w:val="single" w:sz="4" w:space="4" w:color="757575"/>
          <w:bottom w:val="single" w:sz="4" w:space="4" w:color="757575"/>
          <w:right w:val="single" w:sz="4" w:space="4" w:color="757575"/>
        </w:pBdr>
        <w:spacing w:after="240"/>
      </w:pPr>
      <w:r>
        <w:rPr>
          <w:b/>
        </w:rPr>
        <w:t xml:space="preserve">Réponse : </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Calibri" w:hAnsi="Calibri"/>
      <w:color w:val="212121"/>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76" w:lineRule="auto"/>
      <w:outlineLvl w:val="0"/>
    </w:pPr>
    <w:rPr>
      <w:rFonts w:asciiTheme="majorHAnsi" w:eastAsiaTheme="majorEastAsia" w:hAnsiTheme="majorHAnsi" w:cstheme="majorBidi" w:ascii="Calibri" w:hAnsi="Calibri" w:cs="Calibri" w:eastAsia="Calibri"/>
      <w:b/>
      <w:bCs/>
      <w:i w:val="0"/>
      <w:color w:val="1565C0"/>
      <w:sz w:val="34"/>
      <w:szCs w:val="28"/>
      <w:lang w:val="fr-FR" w:eastAsia="fr-FR"/>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Calibri" w:hAnsi="Calibri" w:cs="Calibri" w:eastAsia="Calibri"/>
      <w:b/>
      <w:bCs/>
      <w:i w:val="0"/>
      <w:color w:val="1565C0"/>
      <w:sz w:val="28"/>
      <w:szCs w:val="26"/>
      <w:lang w:val="fr-FR" w:eastAsia="fr-FR"/>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eastAsia="Calibri"/>
      <w:b/>
      <w:bCs/>
      <w:i w:val="0"/>
      <w:color w:val="212121"/>
      <w:sz w:val="25"/>
      <w:lang w:val="fr-FR" w:eastAsia="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76" w:lineRule="auto" w:before="280"/>
      <w:contextualSpacing/>
    </w:pPr>
    <w:rPr>
      <w:rFonts w:asciiTheme="majorHAnsi" w:eastAsiaTheme="majorEastAsia" w:hAnsiTheme="majorHAnsi" w:cstheme="majorBidi" w:ascii="Calibri" w:hAnsi="Calibri" w:cs="Calibri" w:eastAsia="Calibri"/>
      <w:b/>
      <w:i w:val="0"/>
      <w:color w:val="1565C0"/>
      <w:spacing w:val="5"/>
      <w:kern w:val="28"/>
      <w:sz w:val="44"/>
      <w:szCs w:val="52"/>
      <w:lang w:val="fr-FR" w:eastAsia="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microbiome-hybrid — questions en suspens pour Jean-François, mise à jour du 3 octobre 2026</dc:title>
  <dc:subject>Arbitrages attendus de Jean-François Martin après les réponses d'André du 3 octobre 2026</dc:subject>
  <dc:creator>Projet microbiome-hybrid</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