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comprise the two parental species and their as-yet field-unresolved hybrids. Fish were sampled across nine sites of the Rhône drainage (Durance and Ardèche rivers, France) over two years (2014 and 2015), spanning a gradient of hybrid-zone context (allopatry, sympatry with hybridisation, and asymmetric introgression). A total of 183 individual fish were sequenced (134 Chondrostoma sp., 37 C. nasus, 12 P. toxostoma). The design is strongly unbalanced: site and year are largely confounded (only two sites were sampled in both years), as are taxon and site.</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t>[À COMPLÉTER : dates précises de collecte, effectifs par site/année, coordonnées des 9 sites et correspondance code↔nom de site (canal, Ain, Büech, St-Just, Baume, Avignon…).]</w:t>
      </w:r>
    </w:p>
    <w:p>
      <w:r>
        <w:rPr>
          <w:b w:val="0"/>
          <w:i/>
        </w:rPr>
        <w:t>L'identification fine des Chondrostoma sp. (statut parental vs hybride, code Species = Cn/Pt/Hy) est en cours de caractérisation et sera intégrée pour l'analyse de la question hybride ; elle n'affecte pas le traitement bioinformatique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Plate layout and i7 indices were identical throughout, whereas the i5 index set differs between the two libraries —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1F4E79"/>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val="0"/>
          <w:i/>
          <w:color w:val="1F4E79"/>
        </w:rPr>
        <w:t>[À COMPLÉTER : mode d'application de la raréfaction (tirage unique vs raréfaction répétée, Cameron et al. 2021) — à trancher. Puis : indices de diversité α retenus, distances β, modèles statistiques (modèles mixtes, PERMANOVA + PERMDISP), méthode d'abondance différentielle, et contrastes le long du gradient de la zone hybride. Cette dernière partie dépend de l'index hybride en cours de génotypage.]</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