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pour André — croisement du jeu séquencé et du plan écologique</w:t>
      </w:r>
    </w:p>
    <w:p>
      <w:r>
        <w:rPr>
          <w:b w:val="0"/>
          <w:i/>
        </w:rPr>
        <w:t>Projet microbiome-hybrid (16S V4, hotu / toxostome / Chondrostoma sp. et hybrides, Durance &amp; Ardèche). Objet : vérifier que les populations du plan écologique correspondent aux échantillons réellement séquencés, et lister les points à trancher avant l'analyse. Établi le 26/07/2026 à partir de metadata/samples_all.csv (effectifs recomptés sur le cluster).</w:t>
      </w:r>
    </w:p>
    <w:p>
      <w:pPr>
        <w:pStyle w:val="Heading1"/>
      </w:pPr>
      <w:r>
        <w:t>1. Rappel : ce que contient le jeu séquencé</w:t>
      </w:r>
    </w:p>
    <w:p>
      <w:r>
        <w:rPr>
          <w:b w:val="0"/>
          <w:i w:val="0"/>
        </w:rPr>
        <w:t>Dans les données de séquençage, les poissons de la zone d'hybridation ne sont PAS différenciés : ils portent tous le code Ch = Chondrostoma sp. (hotu, toxostome ET hybrides confondus). Seuls les poissons déjà déterminés au terrain portent Cn (hotu) ou Pt (toxostome). L'identification fine des Ch — et surtout le statut hybride — est l'information qui nous manque et que nous attendons de toi.</w:t>
      </w:r>
    </w:p>
    <w:p>
      <w:r>
        <w:rPr>
          <w:b w:val="0"/>
          <w:i w:val="0"/>
        </w:rPr>
        <w:t>Total séquencé : 183 poissons distincts (134 Ch, 37 Cn, 12 Pt), 4 tissus par poisson, chaque échantillon séquencé 3 fois (3 runs = reséquençage des mêmes librairies).</w:t>
      </w:r>
    </w:p>
    <w:p>
      <w:pPr>
        <w:pStyle w:val="Heading1"/>
      </w:pPr>
      <w:r>
        <w:t>2. Correspondance avec ton tableau (Hotu / Toxo / hyb par site)</w:t>
      </w:r>
    </w:p>
    <w:p>
      <w:r>
        <w:rPr>
          <w:b w:val="0"/>
          <w:i w:val="0"/>
        </w:rPr>
        <w:t>Ton tableau donne 6 populations avec effectifs résolus. En rapprochant par rivière, année et effectif total, 4 correspondent exactement à un code-site séquencé ; 2 ne collent pas (effectif différent).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Ton site (rôle)</w:t>
            </w:r>
          </w:p>
        </w:tc>
        <w:tc>
          <w:tcPr>
            <w:tcW w:type="dxa" w:w="1440"/>
          </w:tcPr>
          <w:p>
            <w:r>
              <w:t>Ton total (H/T/hyb)</w:t>
            </w:r>
          </w:p>
        </w:tc>
        <w:tc>
          <w:tcPr>
            <w:tcW w:type="dxa" w:w="1440"/>
          </w:tcPr>
          <w:p>
            <w:r>
              <w:t>Code cluster</w:t>
            </w:r>
          </w:p>
        </w:tc>
        <w:tc>
          <w:tcPr>
            <w:tcW w:type="dxa" w:w="1440"/>
          </w:tcPr>
          <w:p>
            <w:r>
              <w:t>n séquencé</w:t>
            </w:r>
          </w:p>
        </w:tc>
        <w:tc>
          <w:tcPr>
            <w:tcW w:type="dxa" w:w="1440"/>
          </w:tcPr>
          <w:p>
            <w:r>
              <w:t>Répartition séq.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</w:tr>
      <w:tr>
        <w:tc>
          <w:tcPr>
            <w:tcW w:type="dxa" w:w="1440"/>
          </w:tcPr>
          <w:p>
            <w:r>
              <w:t>canal — allopatrie</w:t>
            </w:r>
          </w:p>
        </w:tc>
        <w:tc>
          <w:tcPr>
            <w:tcW w:type="dxa" w:w="1440"/>
          </w:tcPr>
          <w:p>
            <w:r>
              <w:t>20 (10/9/1)</w:t>
            </w:r>
          </w:p>
        </w:tc>
        <w:tc>
          <w:tcPr>
            <w:tcW w:type="dxa" w:w="1440"/>
          </w:tcPr>
          <w:p>
            <w:r>
              <w:t>Caa ?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Ch 20</w:t>
            </w:r>
          </w:p>
        </w:tc>
        <w:tc>
          <w:tcPr>
            <w:tcW w:type="dxa" w:w="1440"/>
          </w:tcPr>
          <w:p>
            <w:r>
              <w:t>OK (total) — nom à confirmer</w:t>
            </w:r>
          </w:p>
        </w:tc>
      </w:tr>
      <w:tr>
        <w:tc>
          <w:tcPr>
            <w:tcW w:type="dxa" w:w="1440"/>
          </w:tcPr>
          <w:p>
            <w:r>
              <w:t>Ain — allopatrie</w:t>
            </w:r>
          </w:p>
        </w:tc>
        <w:tc>
          <w:tcPr>
            <w:tcW w:type="dxa" w:w="1440"/>
          </w:tcPr>
          <w:p>
            <w:r>
              <w:t>35 (14/21/0)</w:t>
            </w:r>
          </w:p>
        </w:tc>
        <w:tc>
          <w:tcPr>
            <w:tcW w:type="dxa" w:w="1440"/>
          </w:tcPr>
          <w:p>
            <w:r>
              <w:t>Ain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Cn 4, Pt 10</w:t>
            </w:r>
          </w:p>
        </w:tc>
        <w:tc>
          <w:tcPr>
            <w:tcW w:type="dxa" w:w="1440"/>
          </w:tcPr>
          <w:p>
            <w:r>
              <w:t>Écart : 14 vs 35, 2014 seulement</w:t>
            </w:r>
          </w:p>
        </w:tc>
      </w:tr>
      <w:tr>
        <w:tc>
          <w:tcPr>
            <w:tcW w:type="dxa" w:w="1440"/>
          </w:tcPr>
          <w:p>
            <w:r>
              <w:t>Büech — sympatrie+hyb</w:t>
            </w:r>
          </w:p>
        </w:tc>
        <w:tc>
          <w:tcPr>
            <w:tcW w:type="dxa" w:w="1440"/>
          </w:tcPr>
          <w:p>
            <w:r>
              <w:t>53 (22/22/9)</w:t>
            </w:r>
          </w:p>
        </w:tc>
        <w:tc>
          <w:tcPr>
            <w:tcW w:type="dxa" w:w="1440"/>
          </w:tcPr>
          <w:p>
            <w:r>
              <w:t>Bue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Cn 8, Ch 27</w:t>
            </w:r>
          </w:p>
        </w:tc>
        <w:tc>
          <w:tcPr>
            <w:tcW w:type="dxa" w:w="1440"/>
          </w:tcPr>
          <w:p>
            <w:r>
              <w:t>Écart : 35 vs 53</w:t>
            </w:r>
          </w:p>
        </w:tc>
      </w:tr>
      <w:tr>
        <w:tc>
          <w:tcPr>
            <w:tcW w:type="dxa" w:w="1440"/>
          </w:tcPr>
          <w:p>
            <w:r>
              <w:t>St-Just — sympatrie+hyb</w:t>
            </w:r>
          </w:p>
        </w:tc>
        <w:tc>
          <w:tcPr>
            <w:tcW w:type="dxa" w:w="1440"/>
          </w:tcPr>
          <w:p>
            <w:r>
              <w:t>19 (7/6/6)</w:t>
            </w:r>
          </w:p>
        </w:tc>
        <w:tc>
          <w:tcPr>
            <w:tcW w:type="dxa" w:w="1440"/>
          </w:tcPr>
          <w:p>
            <w:r>
              <w:t>Jus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Ch 19</w:t>
            </w:r>
          </w:p>
        </w:tc>
        <w:tc>
          <w:tcPr>
            <w:tcW w:type="dxa" w:w="1440"/>
          </w:tcPr>
          <w:p>
            <w:r>
              <w:t>OK — total identique</w:t>
            </w:r>
          </w:p>
        </w:tc>
      </w:tr>
      <w:tr>
        <w:tc>
          <w:tcPr>
            <w:tcW w:type="dxa" w:w="1440"/>
          </w:tcPr>
          <w:p>
            <w:r>
              <w:t>Baume — asym. Toxo</w:t>
            </w:r>
          </w:p>
        </w:tc>
        <w:tc>
          <w:tcPr>
            <w:tcW w:type="dxa" w:w="1440"/>
          </w:tcPr>
          <w:p>
            <w:r>
              <w:t>25 (0/18/7)</w:t>
            </w:r>
          </w:p>
        </w:tc>
        <w:tc>
          <w:tcPr>
            <w:tcW w:type="dxa" w:w="1440"/>
          </w:tcPr>
          <w:p>
            <w:r>
              <w:t>Bau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Ch 25</w:t>
            </w:r>
          </w:p>
        </w:tc>
        <w:tc>
          <w:tcPr>
            <w:tcW w:type="dxa" w:w="1440"/>
          </w:tcPr>
          <w:p>
            <w:r>
              <w:t>OK — total identique</w:t>
            </w:r>
          </w:p>
        </w:tc>
      </w:tr>
      <w:tr>
        <w:tc>
          <w:tcPr>
            <w:tcW w:type="dxa" w:w="1440"/>
          </w:tcPr>
          <w:p>
            <w:r>
              <w:t>Avignon — asym. Hotu</w:t>
            </w:r>
          </w:p>
        </w:tc>
        <w:tc>
          <w:tcPr>
            <w:tcW w:type="dxa" w:w="1440"/>
          </w:tcPr>
          <w:p>
            <w:r>
              <w:t>24 (20/1/3)</w:t>
            </w:r>
          </w:p>
        </w:tc>
        <w:tc>
          <w:tcPr>
            <w:tcW w:type="dxa" w:w="1440"/>
          </w:tcPr>
          <w:p>
            <w:r>
              <w:t>Avi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Cn 22, Pt 2</w:t>
            </w:r>
          </w:p>
        </w:tc>
        <w:tc>
          <w:tcPr>
            <w:tcW w:type="dxa" w:w="1440"/>
          </w:tcPr>
          <w:p>
            <w:r>
              <w:t>OK — total identique</w:t>
            </w:r>
          </w:p>
        </w:tc>
      </w:tr>
    </w:tbl>
    <w:p>
      <w:pPr>
        <w:pStyle w:val="Heading1"/>
      </w:pPr>
      <w:r>
        <w:t>3. Populations séquencées EN PLUS (absentes de ton tableau)</w:t>
      </w:r>
    </w:p>
    <w:p>
      <w:r>
        <w:rPr>
          <w:b w:val="0"/>
          <w:i w:val="0"/>
        </w:rPr>
        <w:t>Trois sites présents dans les données ne figurent pas dans ton tableau — 46 poissons au total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 cluster</w:t>
            </w:r>
          </w:p>
        </w:tc>
        <w:tc>
          <w:tcPr>
            <w:tcW w:type="dxa" w:w="2160"/>
          </w:tcPr>
          <w:p>
            <w:r>
              <w:t>n poissons</w:t>
            </w:r>
          </w:p>
        </w:tc>
        <w:tc>
          <w:tcPr>
            <w:tcW w:type="dxa" w:w="2160"/>
          </w:tcPr>
          <w:p>
            <w:r>
              <w:t>Répartition</w:t>
            </w:r>
          </w:p>
        </w:tc>
        <w:tc>
          <w:tcPr>
            <w:tcW w:type="dxa" w:w="2160"/>
          </w:tcPr>
          <w:p>
            <w:r>
              <w:t>Année(s)</w:t>
            </w:r>
          </w:p>
        </w:tc>
      </w:tr>
      <w:tr>
        <w:tc>
          <w:tcPr>
            <w:tcW w:type="dxa" w:w="2160"/>
          </w:tcPr>
          <w:p>
            <w:r>
              <w:t>Cab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Ch 21</w:t>
            </w:r>
          </w:p>
        </w:tc>
        <w:tc>
          <w:tcPr>
            <w:tcW w:type="dxa" w:w="2160"/>
          </w:tcPr>
          <w:p>
            <w:r>
              <w:t>2015</w:t>
            </w:r>
          </w:p>
        </w:tc>
      </w:tr>
      <w:tr>
        <w:tc>
          <w:tcPr>
            <w:tcW w:type="dxa" w:w="2160"/>
          </w:tcPr>
          <w:p>
            <w:r>
              <w:t>Man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Ch 12, Cn 3</w:t>
            </w:r>
          </w:p>
        </w:tc>
        <w:tc>
          <w:tcPr>
            <w:tcW w:type="dxa" w:w="2160"/>
          </w:tcPr>
          <w:p>
            <w:r>
              <w:t>2014</w:t>
            </w:r>
          </w:p>
        </w:tc>
      </w:tr>
      <w:tr>
        <w:tc>
          <w:tcPr>
            <w:tcW w:type="dxa" w:w="2160"/>
          </w:tcPr>
          <w:p>
            <w:r>
              <w:t>Per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Ch 10</w:t>
            </w:r>
          </w:p>
        </w:tc>
        <w:tc>
          <w:tcPr>
            <w:tcW w:type="dxa" w:w="2160"/>
          </w:tcPr>
          <w:p>
            <w:r>
              <w:t>2014+2015</w:t>
            </w:r>
          </w:p>
        </w:tc>
      </w:tr>
    </w:tbl>
    <w:p>
      <w:pPr>
        <w:pStyle w:val="Heading1"/>
      </w:pPr>
      <w:r>
        <w:t>4. Ce qui colle bien (bon signe)</w:t>
      </w:r>
    </w:p>
    <w:p>
      <w:pPr>
        <w:pStyle w:val="ListBullet"/>
      </w:pPr>
      <w:r>
        <w:t>Pour les 3 sites où le cluster est 100 % Ch (Baume, St-Just, canal), la somme Hotu+Toxo+hyb de ton tableau égale exactement le nombre de Ch séquencés (25, 19, 20). Ton tableau est donc bien la résolution du pool Ch.</w:t>
      </w:r>
    </w:p>
    <w:p>
      <w:pPr>
        <w:pStyle w:val="ListBullet"/>
      </w:pPr>
      <w:r>
        <w:t>Avignon coïncide aussi (24 = 22 Cn + 2 Pt côté séquençage ; 20/1/3 côté tableau).</w:t>
      </w:r>
    </w:p>
    <w:p>
      <w:pPr>
        <w:pStyle w:val="ListBullet"/>
      </w:pPr>
      <w:r>
        <w:t>Le gradient écologique visé est cohérent et exploitable : allopatrie (canal, Ain) → sympatrie+hybridation (Büech, St-Just) → asymétrie (Baume Toxo-dominant, Avignon Hotu-dominant).</w:t>
      </w:r>
    </w:p>
    <w:p>
      <w:pPr>
        <w:pStyle w:val="Heading1"/>
      </w:pPr>
      <w:r>
        <w:t>5. Questions à trancher</w:t>
      </w:r>
    </w:p>
    <w:p>
      <w:r>
        <w:rPr>
          <w:b/>
          <w:i w:val="0"/>
        </w:rPr>
        <w:t>Pour verrouiller la correspondance sans rien supposer :</w:t>
      </w:r>
    </w:p>
    <w:p>
      <w:pPr>
        <w:pStyle w:val="ListBullet"/>
      </w:pPr>
      <w:r>
        <w:t>Noms de sites : le code « Caa » correspond-il bien au canal ? Et que sont « Cab » et « Man » (noms complets, rivière) ?</w:t>
      </w:r>
    </w:p>
    <w:p>
      <w:pPr>
        <w:pStyle w:val="ListBullet"/>
      </w:pPr>
      <w:r>
        <w:t>Cab, Man, Per (46 poissons) : à exclure de l'analyse — ton tableau = les 6 populations retenues — ou à rattacher à l'une de tes 6 lignes ?</w:t>
      </w:r>
    </w:p>
    <w:p>
      <w:pPr>
        <w:pStyle w:val="ListBullet"/>
      </w:pPr>
      <w:r>
        <w:t>Ain : ton tableau annonce 35 poissons sur 2014+2015 ; le cluster n'a que 14 poissons, en 2014. D'où vient l'écart (poissons non séquencés ? année 2015 manquante ? autre code ?) ?</w:t>
      </w:r>
    </w:p>
    <w:p>
      <w:pPr>
        <w:pStyle w:val="ListBullet"/>
      </w:pPr>
      <w:r>
        <w:t>Büech : 53 dans ton tableau vs 35 séquencés (écart de 18). Même question.</w:t>
      </w:r>
    </w:p>
    <w:p>
      <w:pPr>
        <w:pStyle w:val="ListBullet"/>
      </w:pPr>
      <w:r>
        <w:t>Identification des hybrides : dès que ta détermination des Ch est stabilisée (colonne Species = Cn / Pt / Hy de HotuToxo_taillepoids.xlsx), transmets-la et je l'intègre par individu (jointure année × site × individu). C'est le verrou de la question centrale.</w:t>
      </w:r>
    </w:p>
    <w:p>
      <w:pPr>
        <w:pStyle w:val="ListBullet"/>
      </w:pPr>
      <w:r>
        <w:t>« Allopatrie » avec les deux espèces présentes : à lire comme coexistence sans flux de gènes (populations de référence) — confirmes-tu ce sens ?</w:t>
      </w:r>
    </w:p>
    <w:p>
      <w:pPr>
        <w:pStyle w:val="Heading1"/>
      </w:pPr>
      <w:r>
        <w:t>6. Ce qu'on peut faire sans attendre</w:t>
      </w:r>
    </w:p>
    <w:p>
      <w:r>
        <w:rPr>
          <w:b w:val="0"/>
          <w:i w:val="0"/>
        </w:rPr>
        <w:t>Ces étapes ne dépendent pas de l'identification des hybrides et préparent le terrain :</w:t>
      </w:r>
    </w:p>
    <w:p>
      <w:pPr>
        <w:pStyle w:val="ListBullet"/>
      </w:pPr>
      <w:r>
        <w:t>Décontamination et contrôle qualité (blancs, communautés mock, puits vides déjà dans la table).</w:t>
      </w:r>
    </w:p>
    <w:p>
      <w:pPr>
        <w:pStyle w:val="ListBullet"/>
      </w:pPr>
      <w:r>
        <w:t>Quantification de l'effet run (les triplicats permettent de le mesurer proprement) avant d'agréger.</w:t>
      </w:r>
    </w:p>
    <w:p>
      <w:pPr>
        <w:pStyle w:val="ListBullet"/>
      </w:pPr>
      <w:r>
        <w:t>Diversité α/β sur la structure robuste (tissu, site, run), en gardant Ch comme un seul groupe non résolu.</w:t>
      </w:r>
    </w:p>
    <w:p>
      <w:r>
        <w:rPr>
          <w:b w:val="0"/>
          <w:i/>
        </w:rPr>
        <w:t>La question centrale (microbiome des hybrides intermédiaire ou transgressif) et le positionnement des sites sur le gradient allopatrie→sympatrie→asymétrie ne pourront être testés qu'une fois l'identification livrée.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