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pPr>
        <w:pStyle w:val="Title"/>
      </w:pPr>
      <w:r>
        <w:t>Introduction</w:t>
      </w:r>
    </w:p>
    <w:p>
      <w:pPr/>
      <w:r>
        <w:rPr>
          <w:i w:val="0"/>
        </w:rPr>
        <w:t>Animals and the microbial communities they harbour form composite biological units in which microbial composition contributes to host performance and to tolerance of environmental constraints (Bordenstein and Theis 2015).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(Shapira 2016; Shropshire and Bordenstein 2016; Adair and Douglas 2017). Environmental acquisition is particularly important in fish, which live in a medium favourable to bacterial growth, are continuously exposed to microbes at their epithelial barriers, and are mostly oviparous with limited maternal effects compared with mammals (Llewellyn et al. 2014); accordingly, surveys of wild populations report a predominant environmental component of variation in bacterial composition (Sevellec et al. 2014; Smith et al. 2015; Chiarello et al. 2018).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(Grieneisen et al. 2021); in stickleback, a host genetic influence on the gut microbiome became measurable once biological and technical components of variance had been decomposed beforehand (Small et al. 2019).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(Wang et al. 2015); conversely, hybridisation is a source of genomic diversity and adaptive novelty involved in speciation and in range expansion into enlarged ecological niches (Pfennig et al. 2016; Schumer et al. 2018),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(2024)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(2025)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(Li et al. 2018); in intrageneric </w:t>
      </w:r>
      <w:r>
        <w:rPr>
          <w:i/>
        </w:rPr>
        <w:t>Takifugu</w:t>
      </w:r>
      <w:r>
        <w:rPr>
          <w:i w:val="0"/>
        </w:rPr>
        <w:t xml:space="preserve"> hybrids, host hybridisation outweighs cohabitation in shaping the gut microbiota (Jin et al. 2023); reciprocal hybrids of koi and goldfish resemble one parent rather than the midpoint of the two (Wang et al. 2022); and whitefish species pairs with their reciprocal hybrids have been compared in natural and controlled environments (Sevellec et al. 2019). This body of work has been reviewed recently (Cui et al. 2022). Studies of natural hybrid zones in other vertebrates, for their part, do not converge. Host ancestry predominates in </w:t>
      </w:r>
      <w:r>
        <w:rPr>
          <w:i/>
        </w:rPr>
        <w:t>Neotoma</w:t>
      </w:r>
      <w:r>
        <w:rPr>
          <w:i w:val="0"/>
        </w:rPr>
        <w:t xml:space="preserve"> woodrats, where habitat determines diet but genotype determines the gut microbiota (Nielsen et al. 2022), and in hybridising brown lemurs along a 180 km transect (Donohue et al. 2025). The opposite conclusion is reached in baboons spanning a hybrid zone, where site soil properties rather than genetic ancestry, relatedness or between-population genetic distance explain the gut microbiota (Grieneisen et al. 2019), and in wild house mice, where an apparent effect of admixture becomes weak once spatial autocorrelation is taken into account, on two replicates of the same hybrid zone (Čížková et al. 2023). In hybridising chickadees moved to a common environment, the change of environment affected microbiota richness but not community composition, while a corresponding effect of ancestry on composition was not statistically supported (Russell et al. 2026)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(Gilles 1998), so that the two distributions have partially overlapped for about a hundred years. Hybridisation has been detected in the patchily distributed sympatric areas of the basin, with an incidence unrelated to habitat characteristics (Costedoat et al. 2005; Sinama et al. 2013; Guivier et al. 2019) — the configuration of a mosaic hybrid zone (Seehausen et al. 2008). Guivier et al. (2017)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(2021) — and, as a complementary characterisation, as the four-dimensional index of Camper et al. (2024),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(2017), we expect any hybrid signal to be most pronounced in the digestive compartments, where the two parental species diverge most, rather than uniformly across the four tissues.</w:t>
      </w:r>
    </w:p>
    <w:p>
      <w:pPr/>
      <w:r>
        <w:rPr>
          <w:i/>
          <w:color w:val="888888"/>
          <w:sz w:val="18"/>
        </w:rPr>
        <w:t>[Introduction, draft 1 — points à trancher. (i) Titre provisoire inséré : sous-titre du supplément (JF, 2026-10-03) ; titre définitif en fin d'écriture. Cible Animal Microbiome (JF, 2026-10-03) : la structure Background / Methods / Results / Discussion / Conclusions et la section Declarations restent à mettre en place.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p>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w:t>
      </w:r>
      <w:r>
        <w:rPr>
          <w:i w:val="0"/>
          <w:color w:val="1F4E79"/>
        </w:rPr>
        <w:t xml:space="preserve"> Individual genotypes, with the tissue on which each was obtained, are given in Supplementary Table S2.</w:t>
      </w:r>
      <w:r>
        <w:rPr>
          <w:i w:val="0"/>
          <w:color w:val="1F4E79"/>
        </w:rPr>
        <w:t xml:space="preserv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b w:val="0"/>
          <w:i w:val="0"/>
        </w:rPr>
        <w:t xml:space="preserve">Bacterial DNA was extracted from each tissue with the Qiagen Food Mericon kit (Qiagen, Venlo, Netherlands), following a slightly modified protocol detailed in </w:t>
      </w:r>
      <w:r>
        <w:rPr>
          <w:b w:val="0"/>
          <w:i w:val="0"/>
          <w:color w:val="1F4E79"/>
        </w:rPr>
        <w:t>Guivier et al. (2017)</w:t>
      </w:r>
      <w:r>
        <w:rPr>
          <w:b w:val="0"/>
          <w:i w:val="0"/>
        </w:rPr>
        <w:t>.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S5.</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S3.</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S8 and Figure S2.</w:t>
      </w:r>
      <w:r>
        <w:rPr>
          <w:color w:val="1F4E79"/>
        </w:rPr>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(§8.7). Every analysis of genotypic category is run in the two passes defined in §1. Plate column is not entered in the principal models, which report patterns co-varying with station and category without separating them; because its effect on composition is real (§8.8), every model testing category is also fitted with plate column as a covariate and reported as a sensitivity analysis.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0.720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S5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2"/>
      </w:pPr>
      <w:r>
        <w:rPr>
          <w:i w:val="0"/>
        </w:rPr>
      </w:r>
      <w:r>
        <w:rPr>
          <w:i w:val="0"/>
        </w:rPr>
        <w:t>8.8 Plate position</w:t>
      </w:r>
    </w:p>
    <w:p>
      <w:pPr/>
      <w:r/>
      <w:r>
        <w:rPr>
          <w:b w:val="0"/>
          <w:i w:val="0"/>
        </w:rPr>
      </w:r>
      <w:r>
        <w:rPr>
          <w:b w:val="0"/>
          <w:i w:val="0"/>
          <w:color w:val="1F4E79"/>
        </w:rPr>
        <w:t>Individuals were numbered in the field in sampling order, which is not random with respect to genotype: the more fragile nases were processed first, except at one station (Saint-Just-d'Ardèche), and plates were loaded in numbering order at five of the nine stations (Spearman ρ between individual number and plate column, 0.87–0.95).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S7 and Figure S1.</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(§8.6), but every model testing category is also reported with plate column as a covariate, and the two versions are compared in §8.9.</w:t>
      </w:r>
    </w:p>
    <w:p>
      <w:pPr>
        <w:pStyle w:val="Heading2"/>
      </w:pPr>
      <w:r>
        <w:rPr>
          <w:i w:val="0"/>
        </w:rPr>
      </w:r>
      <w:r>
        <w:rPr>
          <w:i w:val="0"/>
        </w:rPr>
      </w:r>
      <w:r>
        <w:rPr>
          <w:i w:val="0"/>
          <w:color w:val="1F4E79"/>
        </w:rPr>
      </w:r>
      <w:r>
        <w:rPr>
          <w:i w:val="0"/>
          <w:color w:val="1F4E79"/>
        </w:rPr>
      </w:r>
      <w:r>
        <w:rPr>
          <w:i w:val="0"/>
          <w:color w:val="1F4E79"/>
        </w:rPr>
      </w:r>
      <w:r>
        <w:rPr>
          <w:i w:val="0"/>
        </w:rPr>
      </w:r>
      <w:r>
        <w:rPr>
          <w:i w:val="0"/>
        </w:rPr>
        <w:t>8.9 Structure of confounding in the genotypic design</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(§8.8).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so it is not fully confirmed once the sample set retained at 3,000 reads is enlarged.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S9.</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section 8.8 is not adjusted for, and a category whose samples are more spread across plate columns could carry inflated dispersion. Supplementary Table S10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S4.</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S1.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(2017)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