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
        <w:rPr>
          <w:b/>
          <w:color w:val="B2182B"/>
        </w:rPr>
        <w:t>DOCUMENT SUPERSEDED — 2026-08-31. This standalone Materials &amp; Methods has been superseded by the Methods sections of docs/manuscrit/Article.docx, which contains every paragraph of this file plus the corrections and additions made since. Do not edit or cite this file. It is kept only as a record; the git history holds its earlier states. Known defects retained here for the record: the index-assignment sentence in §3 is wrong (see the correction below), §9 still carries a placeholder although the ENA accession PRJEB124417 is known, and §§8.6–8.9 lack the phylogenetic metrics, the depth-agreement measurement, the plate-position effect and the confounding structure.</w:t>
      </w:r>
    </w:p>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r>
      <w:r>
        <w:rPr>
          <w:i w:val="0"/>
          <w:color w:val="1F4E79"/>
        </w:rPr>
        <w:t>Collection dates, per-station counts and WGS84 coordinates for the nine stations are given in Supplementary Table S1; the site-code ↔ station correspondence is given there as well. Two site codes (Ain, Cab) each span the same two Suran stations, one per year.</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r>
      <w:r>
        <w:rPr>
          <w:color w:val="B2182B"/>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[FALSE — CORRECTED IN Article.docx: the same plate layout and the same set of 768 index combinations were used for both preparations, but the assignment of index pairs to wells differs: relative to durance1, the i7 index differs for 384 of the 768 libraries and the i5 index for 576, whereas durance2 and durance3 carry identical index pairs throughout. The sentence originally here generalised from a single plate.]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1F4E79"/>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