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w:t>
      </w:r>
      <w:r>
        <w:rPr>
          <w:b w:val="0"/>
          <w:i w:val="0"/>
          <w:color w:val="1F4E79"/>
        </w:rPr>
        <w:t>each fish was euthanised by cervical dislocation, the method retained so as not to alter gene expression in the tissues shared with transcriptome analyses (§2), and immediately dissected</w:t>
      </w:r>
      <w:r>
        <w:rPr>
          <w:b w:val="0"/>
          <w:i w:val="0"/>
          <w:color w:val="1F4E79"/>
        </w:rPr>
        <w:t xml:space="preserve">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w:t>
      </w:r>
      <w:r>
        <w:rPr>
          <w:b w:val="0"/>
          <w:i w:val="0"/>
          <w:color w:val="1F4E79"/>
        </w:rPr>
        <w:t>and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b w:val="0"/>
          <w:i w:val="0"/>
        </w:rPr>
      </w:r>
    </w:p>
    <w:p>
      <w:r>
        <w:rPr>
          <w:i/>
          <w:color w:val="888888"/>
          <w:sz w:val="18"/>
        </w:rPr>
        <w:t>[Autorités, euthanasie et raison de la méthode : André, 2026-10-06 (docs/reponses_andre_2026-10-06.md). Suran et Ardèche : pas de numéro d'autorisation, la mention de la Fédération de l'Ain et de l'ONEMA 07 suffit ; Benjamin Hérodet (Fédération de l'Ain) est nommé dans les remerciements (André, 2026-10-06, second lot).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 xml:space="preserve">a lobe of the caudal fin (code 01), the gill (05), the hindgut (03) and the midgut (02), dissected in that order. Each tissue was cut in two and placed in two 1.5 mL tubes: </w:t>
      </w:r>
      <w:r>
        <w:rPr>
          <w:b w:val="0"/>
          <w:i w:val="0"/>
          <w:color w:val="1F4E79"/>
        </w:rPr>
        <w:t>one half was placed in 95% ethanol for microbiota analysis, kept on ice in the field and stored at −80 °C in the laboratory; the other</w:t>
      </w:r>
      <w:r>
        <w:rPr>
          <w:b w:val="0"/>
          <w:i w:val="0"/>
          <w:color w:val="1F4E79"/>
        </w:rPr>
        <w:t xml:space="preserve"> was frozen at −80 °C for transcriptome analyses, including genotyping.</w:t>
      </w:r>
      <w:r>
        <w:rPr>
          <w:b w:val="0"/>
          <w:i w:val="0"/>
        </w:rPr>
        <w:t xml:space="preserve"> Nine tissues were re-extracted independently (flagged ‘bis’) and are treated as technical replicates.</w:t>
      </w:r>
    </w:p>
    <w:p>
      <w:r>
        <w:rPr>
          <w:i/>
          <w:color w:val="888888"/>
          <w:sz w:val="18"/>
        </w:rPr>
        <w:t>[Conservation du tube éthanol (glace sur le terrain, −80 °C au laboratoire) : André, 2026-10-06. Tissu 01 = lobe de nageoire caudale, ordre de dissection et partage de chaque tissu en deux tubes : André, 2026-10-03. À retirer avant soumission.]</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the midgut gap (5.7–14.0 and 7.8–8.9 points) persisting at 500 reads in any case (Supplementary Table S6 and Figure S1).</w:t>
      </w:r>
      <w:r>
        <w:rPr>
          <w:i/>
          <w:color w:val="888888"/>
          <w:sz w:val="18"/>
        </w:rPr>
        <w:t xml:space="preserve"> [Écarts de rétention : étendue sur les trois runs de séquençage, arbitrage de JF du 2026-10-06 (décision 5), au lieu des valeurs du seul run durance1. Source : scripts/43-retention_profondeur.py, results/depth_agreement/retention_par_categorie.tsv ; insertion par scripts/50-retention_trois_runs.py. À retirer avant soumission.]</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r>
        <w:rPr>
          <w:color w:val="1F4E79"/>
        </w:rPr>
        <w:t xml:space="preserve"> A fifth control was declared in the same way, in a document committed after the results of (iii) were known but before its own computation. (v) Whether processing order could produce the classification of hybrid alpha diversity: fish were ranked by individual number within each campaign (1 = first dissected; the two 2014 Pertuis series, fished on different days, were ranked separately); the slope of log alpha diversity on rank was estimated within station × category cells, where it cannot carry a category effect, and compared with the slope that rank alone would require to produce the hybrid − </w:t>
      </w:r>
      <w:r>
        <w:rPr>
          <w:i/>
          <w:color w:val="1F4E79"/>
        </w:rPr>
        <w:t>P. toxostoma</w:t>
      </w:r>
      <w:r>
        <w:rPr>
          <w:color w:val="1F4E79"/>
        </w:rPr>
        <w:t xml:space="preserve"> contrast, given the mean rank difference between hybrids and </w:t>
      </w:r>
      <w:r>
        <w:rPr>
          <w:i/>
          <w:color w:val="1F4E79"/>
        </w:rPr>
        <w:t>P. toxostoma</w:t>
      </w:r>
      <w:r>
        <w:rPr>
          <w:color w:val="1F4E79"/>
        </w:rPr>
        <w:t xml:space="preserve"> within stations.</w:t>
      </w:r>
      <w:r>
        <w:rPr>
          <w:color w:val="1F4E79"/>
        </w:rPr>
        <w:t xml:space="preserve"> A sixth control was declared after an exploratory ordination showed the samples of one station separating by fishing campaign, in a document committed before its own computation. (vi) Whether fishing campaign, which the models do not include within stations, could produce the category effects: at the five stations fished twice, hybrids were mostly sampled in the second campaign, so the principal model was refitted with permutations restricted within the 14 station × campaign blocks (station × year, the two 2014 fishing days at Pertuis kept separate), the share of category was re-estimated after these blocks, and the effect of campaign was tested in the parental species alone, with permutations within station × species blocks.</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genotype-resolved host identities and campaign-prefixed host subject identifiers, without altering any accession, alias or sequence file, and the corrected state was verified against the archive (5,339 fields on 727 samples; Supplementary Note S2); host subject identifiers reused between years in the field records are disambiguated by the campaign prefix (Supplementary Note S3). Collection dates are given at day resolution for every station, the two 2014 fishing campaigns at Pertuis being dated separately (2014-07-07 and 2014-08-20).</w:t>
      </w:r>
    </w:p>
    <w:p>
      <w:pPr/>
      <w:r>
        <w:rPr>
          <w:i/>
          <w:color w:val="888888"/>
          <w:sz w:val="18"/>
        </w:rPr>
        <w:t>[ENA : MODIFY du 2026-10-06 (dates des deux pêches de Pertuis, 44 échantillons ; host subject id préfixé par la campagne, 727 échantillons) — reçu ena_deposit/receipt_pertuis_sujet_prod_20261006_111847.xml, success=true, accessions inchangées ; vérifié sur l'archive par JF le 2026-10-06 à 15:02 : 5 339 champs conformes sur 727 échantillons, aucun écart (ena_deposit/verification_cumulee_20261006_1502.txt). À retirer avant soumission.]</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time each fish spent in the holding tank before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 Two observations make a physical plate artefact the less likely reading: the effect is specific to column, row reaching significance in only 7 and 6 of 24 strata and edge in none, and position within a plate has shown no measurable effect on 16S community composition in our laboratory (unpublished observations). We therefore read the column effect as a marker of processing order and propose the time spent in the holding tank before dissection as the candidate mechanism; this design cannot test that proposal, which remains a hypothesis.</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r>
        <w:rPr>
          <w:i/>
          <w:color w:val="888888"/>
          <w:sz w:val="18"/>
        </w:rPr>
        <w:t xml:space="preserve"> [Mécanisme proposé sur arbitrage de JF du 2026-10-06 (D2, option ii). La prémisse — la position sur plaque n'a pas d'effet mesurable sur la composition — est une observation non publiée du laboratoire, extérieure à ce jeu de données : R32 montre que colonne, ordre de traitement et durée de séjour ne sont pas séparables ici. À retirer avant soumission.]</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color w:val="1F4E79"/>
        </w:rPr>
        <w:t xml:space="preserve"> Processing order could not produce either classification (§8.12, control v): within stations, hybrids and </w:t>
      </w:r>
      <w:r>
        <w:rPr>
          <w:i/>
          <w:color w:val="1F4E79"/>
        </w:rPr>
        <w:t>P. toxostoma</w:t>
      </w:r>
      <w:r>
        <w:rPr>
          <w:color w:val="1F4E79"/>
        </w:rPr>
        <w:t xml:space="preserve"> were dissected at the same mean rank (differences of 0.5 ranks in the caudal fin in pass 1 and 0.4 in the midgut in pass 2), so that the slope required to produce the hybrid − </w:t>
      </w:r>
      <w:r>
        <w:rPr>
          <w:i/>
          <w:color w:val="1F4E79"/>
        </w:rPr>
        <w:t>P. toxostoma</w:t>
      </w:r>
      <w:r>
        <w:rPr>
          <w:color w:val="1F4E79"/>
        </w:rPr>
        <w:t xml:space="preserve"> contrast exceeded the within-cell slope on rank by a factor of 16 to 37 on every index. Alpha diversity nevertheless declined with processing rank within station × category cells in the hindgut, on all four indices in both passes (p ≤ 0.008), by 25–46 % per ten ranks, and in the midgut on presence-based indices only (3 of 8 tests). Hybrids and </w:t>
      </w:r>
      <w:r>
        <w:rPr>
          <w:i/>
          <w:color w:val="1F4E79"/>
        </w:rPr>
        <w:t>P. toxostoma</w:t>
      </w:r>
      <w:r>
        <w:rPr>
          <w:color w:val="1F4E79"/>
        </w:rPr>
        <w:t xml:space="preserve"> having been processed at the same mean rank in the hindgut (differences of 0.2 and 0.1 ranks), this decline does not bias the hindgut category contrasts; the time spent in the holding tank, which grows with rank, is consistent with it but cannot be separated from plate column in this design.</w:t>
      </w:r>
      <w:r>
        <w:rPr>
          <w:i/>
          <w:color w:val="888888"/>
          <w:sz w:val="18"/>
        </w:rPr>
        <w:t xml:space="preserve"> [Contrôle (v) : plan docs/plan_R31_ordre_2026-10-06.md (f3916c1), scripts/51, R36 ; intégré sur décision de JF du 2026-10-06. Contraste femelles/mâles (R27) : NON RAPPORTÉ, décision de JF du 2026-10-06 — non établi sous D7, confondu avec l'ordre de traitement (femelles disséquées plus tôt, rang médian 5 contre 8, p = 0,02) et déséquilibré entre stations ; le sexe n'est pas une question de l'article. À retirer avant soumission.]</w:t>
      </w:r>
    </w:p>
    <w:p>
      <w:pPr>
        <w:pStyle w:val="Heading1"/>
      </w:pPr>
      <w:r>
        <w:rPr>
          <w:color w:val="1F4E79"/>
        </w:rPr>
        <w:t>Composition by genotypic category</w:t>
      </w:r>
    </w:p>
    <w:p>
      <w:pPr/>
      <w:r>
        <w:rPr>
          <w:i/>
        </w:rPr>
        <w:t>Pseudomonadota</w:t>
      </w:r>
      <w:r>
        <w:rPr/>
        <w:t xml:space="preserve"> was the most abundant phylum in 33 of the 36 tissue × station profiles; at the three stations where the three categories co-occur, </w:t>
      </w:r>
      <w:r>
        <w:rPr>
          <w:i/>
        </w:rPr>
        <w:t>Fusobacteriota</w:t>
      </w:r>
      <w:r>
        <w:rPr/>
        <w:t xml:space="preserve"> and </w:t>
      </w:r>
      <w:r>
        <w:rPr>
          <w:i/>
        </w:rPr>
        <w:t>Bacillota</w:t>
      </w:r>
      <w:r>
        <w:rPr/>
        <w:t xml:space="preserve"> were more abundant in both gut sections than in both external tissues in each genotypic category (Supplementary Figure S3).</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r>
        <w:rPr>
          <w:color w:val="1F4E79"/>
        </w:rPr>
        <w:t xml:space="preserve">Restricting permutations to the 14 station × campaign blocks (§8.12, control vi) left these detections unchanged in substance. The midgut on Jaccard remained significant in all three runs of both passes, and the caudal fin on weighted UniFrac in all three runs of pass 1. Of the 96 metric × tissue × run × pass strata, 46 were significant with station blocks and 52 with station × campaign blocks; the 2 lost were both on unweighted UniFrac in pass 2, with p moving from 0.042–0.045 to 0.065–0.068. The share of category fitted after the station × campaign blocks (median 1.46 % over the 96 strata) was that fitted after station (1.53 %). Fishing campaign nevertheless structured composition on its own: in the parental species alone, at the five stations fished twice, it accounted for 6.7–27.3 % of variance within station and species (p ≤ 0.039 in all 48 metric × tissue × run strata). </w:t>
      </w:r>
      <w:r>
        <w:rPr>
          <w:i/>
          <w:color w:val="888888"/>
          <w:sz w:val="18"/>
        </w:rPr>
        <w:t>[Contrôle (vi), campagne de pêche : plan docs/plan_controle_campagne_2026-10-06.md, scripts/66-controle_campagne.R (commit 118d09a), sorties results/controle_campagne/ ; déclaré après observation (ordinations exploratoires du script 65, figure candidate non retenue à ce jour). Témoin de montage : la référence à blocs de station reproduit les p et R² de results/recat dans les 96 strates. À retirer avant soumission.]</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S4.</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S4 (numérotée S3 avant le 2026-10-06)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 xml:space="preserve">Four limits bound these conclusions. Genotypic category is confounded with station, and the three stations carrying all three categories hold 65–74 individuals, so that category effects are estimated mostly between stations. Station itself includes, at the five stations fished twice, a difference between fishing campaigns that accounted for 7–27 % of compositional variance in the parental species alone; restricting permutations within campaigns left the category results unchanged (§8.12, control vi), and what this campaign effect consists of — year, date or conditions of capture and handling — is not resolved by these data. Plate position affected composition and followed processing order in every campaign; its mechanism — extraction order, reagent drift within a plate, cross-contamination between adjacent wells or time spent in the holding tank — is not identified by these data; position within a plate has no measurable effect on 16S composition in our laboratory (unpublished observations) and the effect was specific to column, so we read it as a marker of processing order and propose the time spent in the holding tank before dissection as the candidate mechanism, a hypothesis this design cannot test. </w:t>
      </w:r>
      <w:r>
        <w:rPr>
          <w:color w:val="1F4E79"/>
        </w:rPr>
        <w:t xml:space="preserve">Hindgut alpha diversity declined with processing rank within station and category, which is consistent with this proposal without testing it, rank being confounded with column; processing order could not, however, produce the dominance of </w:t>
      </w:r>
      <w:r>
        <w:rPr>
          <w:i/>
          <w:color w:val="1F4E79"/>
        </w:rPr>
        <w:t>C. nasus</w:t>
      </w:r>
      <w:r>
        <w:rPr>
          <w:color w:val="1F4E79"/>
        </w:rPr>
        <w:t xml:space="preserve"> in alpha diversity, although </w:t>
      </w:r>
      <w:r>
        <w:rPr>
          <w:i/>
          <w:color w:val="1F4E79"/>
        </w:rPr>
        <w:t>C. nasus</w:t>
      </w:r>
      <w:r>
        <w:rPr>
          <w:color w:val="1F4E79"/>
        </w:rPr>
        <w:t xml:space="preserve"> was generally processed first, hybrids and </w:t>
      </w:r>
      <w:r>
        <w:rPr>
          <w:i/>
          <w:color w:val="1F4E79"/>
        </w:rPr>
        <w:t>P. toxostoma</w:t>
      </w:r>
      <w:r>
        <w:rPr>
          <w:color w:val="1F4E79"/>
        </w:rPr>
        <w:t xml:space="preserve"> having been dissected at the same mean rank within stations. </w:t>
      </w:r>
      <w:r>
        <w:rPr>
          <w:color w:val="1F4E79"/>
        </w:rPr>
        <w:t xml:space="preserve">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r>
      <w:r>
        <w:rPr>
          <w:color w:val="1F4E79"/>
        </w:rPr>
        <w:t>Fish were captured by electrofishing and euthanised by cervical dislocation immediately before dissection, following international guidelines of animal care,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color w:val="1F4E79"/>
        </w:rPr>
      </w:r>
      <w:r>
        <w:rPr>
          <w:i/>
          <w:color w:val="888888"/>
          <w:sz w:val="18"/>
        </w:rPr>
        <w:t xml:space="preserve"> [Autorités et euthanasie : André, 2026-10-06. Suran et Ardèche : pas de numéro d'autorisation, la mention de la Fédération de l'Ain et de l'ONEMA 07 suffit ; Benjamin Hérodet (Fédération de l'Ain) est nommé dans les remerciements (André, 2026-10-06, second lot).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 xml:space="preserve">This work was funded by Électricité de France (EDF) through an EDF–CNRS doctoral contract (AGDI 428481) </w:t>
      </w:r>
      <w:r>
        <w:rPr>
          <w:i w:val="0"/>
          <w:color w:val="1F4E79"/>
        </w:rPr>
        <w:t>financing the thesis of Arnaud Ungaro, with the support</w:t>
      </w:r>
      <w:r>
        <w:rPr>
          <w:i w:val="0"/>
          <w:color w:val="1F4E79"/>
        </w:rPr>
        <w:t xml:space="preserve"> of the Fédération de l'Ain pour la pêche et la protection des milieux aquatiques.</w:t>
      </w:r>
    </w:p>
    <w:p>
      <w:pPr/>
      <w:r>
        <w:rPr>
          <w:i/>
          <w:color w:val="888888"/>
          <w:sz w:val="18"/>
        </w:rPr>
        <w:t>[Financement : contrat « EDF-CNRS AGDI 428481 » (André, 2026-10-03). Référence au projet FACIES retirée sur décision d'André (2026-10-06 : rattachement non établi) ; la mention « the contract that also funded Guivier et al. [31] », qui reposait sur ce même rattachement, est retirée avec elle — à valider par JF. Benjamin Hérodet est nommé dans les remerciements (André, 2026-10-06) ; le reste des remerciements et les contributions des auteurs seront rédigés en fin de manuscrit.]</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val="0"/>
          <w:color w:val="1F4E79"/>
        </w:rPr>
        <w:t xml:space="preserve">We thank Benjamin Hérodet (Fédération de l'Ain pour la pêche et la protection des milieux aquatiques). </w:t>
      </w:r>
      <w:r>
        <w:rPr>
          <w:i/>
          <w:color w:val="888888"/>
          <w:sz w:val="18"/>
        </w:rPr>
        <w:t>[Rôle de Benjamin Hérodet à préciser (aide aux pêches du Suran ?) ; autres remerciements à rédiger en fin de manuscrit (André, 2026-10-03 et 2026-10-06).]</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