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same 768 libraries were sequenced three independent times (runs durance1, durance2 and durance3; distinct flow cells and i5 index sets, identical plate layout and i7 indices). Each biological sample is therefore present in triplicate across runs, allowing the sequencing-run effect to be estimated directly, unconfounded with any biological factor.</w:t>
      </w:r>
    </w:p>
    <w:p>
      <w:r>
        <w:rPr>
          <w:i/>
          <w:color w:val="1F6FC0"/>
        </w:rPr>
        <w:t>[Transposé du manuscrit d'origine — à confirmer pour le lot Durance : kit d'extraction Qiagen Food Mericon, méthode dual-index Kozich (2013), protocole Galan (2016), quantification Kapa, MiSeq reagent kit v3 (2×300) — tous repris du manuscrit d'origine (même assay). À confirmer que le lot Durance a suivi exactement ce protocole d'extraction et de PCR.]</w:t>
      </w:r>
    </w:p>
    <w:p>
      <w:r>
        <w:rPr>
          <w:i/>
          <w:color w:val="C00000"/>
        </w:rPr>
        <w:t>[À COMPLÉTER : nombre exact de cycles PCR et polymérase utilisée ; dates des trois runs MiSeq ; taux de spike-in PhiX.]</w:t>
      </w:r>
    </w:p>
    <w:p>
      <w:pPr>
        <w:pStyle w:val="Heading1"/>
      </w:pPr>
      <w:r>
        <w:t>4. Controls</w:t>
      </w:r>
    </w:p>
    <w:p>
      <w:r>
        <w:rPr>
          <w:b w:val="0"/>
          <w:i w:val="0"/>
        </w:rPr>
        <w:t>Extraction blanks and no-template PCR controls (39 controls in total, each sequenced across the three runs), and two aliquots of a commercial mock community — the ZymoBIOMICS Microbial Community Standard (Zymo Research, Irvine, CA, USA), a defined mixture of eight known bacterial taxa — were processed and sequenced alongside the biological samples for contamination assessment and positive-control validation.</w:t>
      </w:r>
    </w:p>
    <w:p>
      <w:r>
        <w:rPr>
          <w:i/>
          <w:color w:val="1F6FC0"/>
        </w:rPr>
        <w:t>[Transposé du manuscrit d'origine — à confirmer pour le lot Durance : standard ZymoBIOMICS (8 taxons bactériens connus) et inclusion de contrôles négatifs/mock — repris du manuscrit d'origine.]</w:t>
      </w:r>
    </w:p>
    <w:p>
      <w:r>
        <w:rPr>
          <w:i/>
          <w:color w:val="C00000"/>
        </w:rPr>
        <w:t>[À COMPLÉTER : référence catalogue et NUMÉRO DE LOT exact du standard Zymo (détermine le jeu de souches de référence, cf. §7) ; répartition précise blancs d'extraction vs contrôles PCR.]</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contemporaneous with the 2014–2015 sequencing)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color w:val="C00000"/>
        </w:rPr>
        <w:t>[À COMPLÉTER : confirmer le numéro de lot du standard Zymo pour verrouiller le choix du jeu de souches de référence.]</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67 empty wells, which received no library and in which any read therefore represents leakage. These wells accumulated 41 reads in total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set of genuine fish (nine complete individuals, whose digestive tissues were free of mock reads) showed mock ASVs at 20–65 % in a single well-tissue combination, consistent with well-level contamination;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val="0"/>
          <w:i/>
          <w:color w:val="1F4E79"/>
        </w:rPr>
        <w:t>[À COMPLÉTER : mode d'application de la raréfaction (tirage unique vs raréfaction répétée, Cameron et al. 2021) — à trancher. Puis : indices de diversité α retenus, distances β, modèles statistiques (modèles mixtes, PERMANOVA + PERMDISP), méthode d'abondance différentielle, et contrastes le long du gradient de la zone hybride. Cette dernière partie dépend de l'index hybride en cours de génotypage.]</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