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Plate layout and i7 indices were identical throughout, whereas the i5 index set differs between the two libraries —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color w:val="1F4E79"/>
        </w:rPr>
        <w:t>[À COMPLÉTER : modèles statistiques — structure des effets aléatoires (séquençage niché dans la préparation de librairie, cf. §8.7), PERMANOVA et PERMDISP, méthode d'abondance différentielle, et contrastes le long du gradient de la zone hybride. Dépend de l'index hybride en cours de génotypage.]</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