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Materials and Methods</w:t>
      </w:r>
    </w:p>
    <w:p>
      <w:r>
        <w:rPr>
          <w:b w:val="0"/>
          <w:i/>
        </w:rPr>
        <w:t>Projet microbiome-hybrid. Les paramètres bioinformatiques (§5–7) sont extraits des scripts versionnés sur le cluster (juillet 2026). Les protocoles de paillasse (§2–4) sont transposés du manuscrit d'origine du projet (Guivier, Pech, Martin, Chappaz, Gilles — même assay 16S V4, même équipe) ; ils sont signalés en bleu et restent à confirmer pour le lot d'échantillons Durance. Les informations encore absentes sont en rouge.</w:t>
      </w:r>
    </w:p>
    <w:p>
      <w:pPr>
        <w:pStyle w:val="Heading1"/>
      </w:pPr>
      <w:r>
        <w:t>1. Study system and sampling</w:t>
      </w:r>
    </w:p>
    <w:p>
      <w:r>
        <w:rPr>
          <w:b w:val="0"/>
          <w:i w:val="0"/>
        </w:rPr>
        <w:t>We studied the host-associated bacterial microbiota of two interbreeding cyprinid fishes, the nase Chondrostoma nasus (hotu, code Cn) and the toxostome Parachondrostoma toxostoma (code Pt), together with unassigned Chondrostoma sp. individuals (code Ch) from their contact zone, which comprise the two parental species and their as-yet field-unresolved hybrids. Fish were sampled across nine sites of the Rhône drainage (Durance and Ardèche rivers, France) over two years (2014 and 2015), spanning a gradient of hybrid-zone context (allopatry, sympatry with hybridisation, and asymmetric introgression). A total of 183 individual fish were sequenced (134 Chondrostoma sp., 37 C. nasus, 12 P. toxostoma). The design is strongly unbalanced: site and year are largely confounded (only two sites were sampled in both years), as are taxon and site.</w:t>
      </w:r>
    </w:p>
    <w:p>
      <w:r>
        <w:rPr>
          <w:b w:val="0"/>
          <w:i w:val="0"/>
        </w:rPr>
        <w:t>Specimens were captured by electrofishing, euthanised by cervical dislocation, and immediately dissected with sterile material. The study was conducted according to international guidelines of animal care and under national protocol authorisations n° 2014-156-0001 and n° 2015-1426DDT605.</w:t>
      </w:r>
    </w:p>
    <w:p>
      <w:r>
        <w:rPr>
          <w:i/>
          <w:color w:val="1F6FC0"/>
        </w:rPr>
        <w:t>[Transposé du manuscrit d'origine — à confirmer pour le lot Durance : mode de capture (pêche électrique), euthanasie par dislocation cervicale et numéros d'autorisation — identiques au manuscrit d'origine ; vérifier qu'ils couvrent bien l'ensemble des 9 sites et les deux années.]</w:t>
      </w:r>
    </w:p>
    <w:p>
      <w:r>
        <w:rPr>
          <w:i/>
          <w:color w:val="C00000"/>
        </w:rPr>
        <w:t>[À COMPLÉTER : dates précises de collecte, effectifs par site/année, coordonnées des 9 sites et correspondance code↔nom de site (canal, Ain, Büech, St-Just, Baume, Avignon…).]</w:t>
      </w:r>
    </w:p>
    <w:p>
      <w:r>
        <w:rPr>
          <w:b w:val="0"/>
          <w:i/>
        </w:rPr>
        <w:t>L'identification fine des Chondrostoma sp. (statut parental vs hybride, code Species = Cn/Pt/Hy) est en cours de caractérisation et sera intégrée pour l'analyse de la question hybride ; elle n'affecte pas le traitement bioinformatique ci-dessous.</w:t>
      </w:r>
    </w:p>
    <w:p>
      <w:pPr>
        <w:pStyle w:val="Heading1"/>
      </w:pPr>
      <w:r>
        <w:t>2. Tissue sampling and preservation</w:t>
      </w:r>
    </w:p>
    <w:p>
      <w:r>
        <w:rPr>
          <w:b w:val="0"/>
          <w:i w:val="0"/>
        </w:rPr>
        <w:t>Four tissues were sampled per fish, spanning a gradient of contact with the external environment: caudal fin (code 01), midgut (02), hindgut (03) and gill (05). A piece of each tissue was stored in 95% ethanol at −80 °C until molecular analysis. Nine tissues were re-extracted independently (flagged ‘bis’) and are treated as technical replicates.</w:t>
      </w:r>
    </w:p>
    <w:p>
      <w:r>
        <w:rPr>
          <w:i/>
          <w:color w:val="1F6FC0"/>
        </w:rPr>
        <w:t>[Transposé du manuscrit d'origine — à confirmer pour le lot Durance : conservation en éthanol 95% à −80 °C et dissection stérile — repris du manuscrit d'origine (gills/midgut) et étendus ici aux 4 tissus ; confirmer que caudale et hindgut ont suivi le même protocole.]</w:t>
      </w:r>
    </w:p>
    <w:p>
      <w:pPr>
        <w:pStyle w:val="Heading1"/>
      </w:pPr>
      <w:r>
        <w:t>3. DNA extraction, 16S library preparation and sequencing</w:t>
      </w:r>
    </w:p>
    <w:p>
      <w:r>
        <w:rPr>
          <w:b w:val="0"/>
          <w:i w:val="0"/>
        </w:rPr>
        <w:t>Bacterial DNA was extracted from each tissue with the Qiagen Food Mericon kit (Qiagen, Venlo, Netherlands), following a slightly modified protocol detailed in Guivier et al. (2018). A 251 bp fragment of the V4 region of the bacterial 16S rRNA gene was amplified using the dual-index method of Kozich et al. (2013), with forward and reverse primers carrying an 8 bp index and Illumina adapters (Caporaso primers 515F GTGCCAGCMGCCGCGGTAA / 806R GGACTACHVGGGTWTCTAAT). DNA amplification, purification and pooling of PCR products followed Galan et al. (2016). The final library was quantified with the Kapa quantification kit (Kapa Biosystems) and loaded on an Illumina MiSeq flow cell with reagent kit v3 (2 × 300 cycles).</w:t>
      </w:r>
    </w:p>
    <w:p>
      <w:r>
        <w:rPr>
          <w:b w:val="0"/>
          <w:i w:val="0"/>
        </w:rPr>
        <w:t>For the present study the 768 samples were processed through two independent library preparations, each using the one-step dual-index PCR of Kozich et al. (2013), in which the indices are incorporated during amplification. The first amplicon library was sequenced once (run durance1); the second, prepared from an independent PCR of the same samples, was sequenced twice on separate flow cells (runs durance2 and durance3). Plate layout and i7 indices were identical throughout, whereas the i5 index set differs between the two libraries —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r>
        <w:rPr>
          <w:i/>
          <w:color w:val="1F4E79"/>
        </w:rPr>
        <w:t>[Transposé du manuscrit d'origine (même équipe, même assay) : kit Qiagen Food Mericon, dual-index Kozich (2013), protocole Galan (2016), quantification Kapa, MiSeq v3 (2×300). Le manuscrit d'origine ne portait que sur une partie des données (branchie et midgut) ; le plan Durance à quatre tissus fait foi — confirmé par les co-auteurs.]</w:t>
      </w:r>
    </w:p>
    <w:p>
      <w:r>
        <w:rPr>
          <w:i w:val="0"/>
          <w:color w:val="1F4E79"/>
        </w:rPr>
        <w:t>Libraries were sequenced on an Illumina MiSeq on 10 July 2017 (durance1), 5 October 2017 (durance2) and 3 November 2017 (durance3), with a 10 % PhiX spike-in. PCR conditions, purification and pooling followed Galan et al. (2016).</w:t>
      </w:r>
    </w:p>
    <w:p>
      <w:pPr>
        <w:pStyle w:val="Heading1"/>
      </w:pPr>
      <w:r>
        <w:t>4. Controls</w:t>
      </w:r>
    </w:p>
    <w:p>
      <w:r>
        <w:rPr>
          <w:b w:val="0"/>
          <w:i w:val="0"/>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75 empty wells received no library and were sequenced to monitor index hopping between libraries.</w:t>
      </w:r>
    </w:p>
    <w:p>
      <w:r>
        <w:rPr>
          <w:i/>
          <w:color w:val="1F6FC0"/>
        </w:rPr>
        <w:t>[Transposé du manuscrit d'origine — à confirmer pour le lot Durance : standard ZymoBIOMICS (8 taxons bactériens connus) et inclusion de contrôles négatifs/mock — repris du manuscrit d'origine.]</w:t>
      </w:r>
    </w:p>
    <w:p>
      <w:r>
        <w:rPr>
          <w:i w:val="0"/>
          <w:color w:val="1F4E79"/>
        </w:rPr>
        <w:t>The mock community was the ZymoBIOMICS Microbial Community Standard (Zymo Research, cat. D6300).</w:t>
      </w:r>
    </w:p>
    <w:p>
      <w:pPr>
        <w:pStyle w:val="Heading1"/>
      </w:pPr>
      <w:r>
        <w:t>5. Sequence processing overview</w:t>
      </w:r>
    </w:p>
    <w:p>
      <w:r>
        <w:rPr>
          <w:b w:val="0"/>
          <w:i w:val="0"/>
        </w:rPr>
        <w:t>Reads were processed with a custom, version-controlled pipeline (git-tracked; each parameter justified in the script headers). The three runs were processed separately through denoising and merged thereafter. Software versions: cutadapt 5.0; R 4.5.3 with DADA2 1.38.0; SILVA reference v138.2 (DADA2 formatted, Zenodo 14169026); BLAST+ 2.13.0; FastQC and MultiQC for quality control. The 16S V4 primers, being also the sequencing primers (Schloss dual-index protocol), are not present in the reads; no 5′ primer trimming was therefore applied.</w:t>
      </w:r>
    </w:p>
    <w:p>
      <w:pPr>
        <w:pStyle w:val="Heading2"/>
      </w:pPr>
      <w:r>
        <w:t>5.1 Quality control</w:t>
      </w:r>
    </w:p>
    <w:p>
      <w:r>
        <w:rPr>
          <w:b w:val="0"/>
          <w:i w:val="0"/>
        </w:rPr>
        <w:t>Per-run read quality was assessed with FastQC and aggregated with MultiQC.</w:t>
      </w:r>
    </w:p>
    <w:p>
      <w:pPr>
        <w:pStyle w:val="Heading2"/>
      </w:pPr>
      <w:r>
        <w:t>5.2 Removal of co-amplified host 12S rRNA</w:t>
      </w:r>
    </w:p>
    <w:p>
      <w:r>
        <w:rPr>
          <w:b w:val="0"/>
          <w:i w:val="0"/>
        </w:rPr>
        <w:t>The 16S V4 primers co-amplify the host mitochondrial 12S rRNA gene (15–67% of reads per sample).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pStyle w:val="Heading2"/>
      </w:pPr>
      <w:r>
        <w:t>5.3 ASV inference (DADA2, per run)</w:t>
      </w:r>
    </w:p>
    <w:p>
      <w:r>
        <w:rPr>
          <w:b w:val="0"/>
          <w:i w:val="0"/>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pStyle w:val="Heading2"/>
      </w:pPr>
      <w:r>
        <w:t>5.4 Table merging, chimera removal and taxonomy</w:t>
      </w:r>
    </w:p>
    <w:p>
      <w:r>
        <w:rPr>
          <w:b w:val="0"/>
          <w:i w:val="0"/>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pStyle w:val="Heading2"/>
      </w:pPr>
      <w:r>
        <w:t>5.5 Non-target filtering</w:t>
      </w:r>
    </w:p>
    <w:p>
      <w:r>
        <w:rPr>
          <w:b w:val="0"/>
          <w:i w:val="0"/>
        </w:rPr>
        <w:t>ASVs assigned to Eukaryota or unassigned at the domain level, to Chloroplast (Order) or to Mitochondria (Family) were removed; the mitochondrial ASVs correspond to residual full-length host 12S captured by the taxonomic safety net.</w:t>
      </w:r>
    </w:p>
    <w:p>
      <w:pPr>
        <w:pStyle w:val="Heading1"/>
      </w:pPr>
      <w:r>
        <w:t>6. Resulting dataset</w:t>
      </w:r>
    </w:p>
    <w:p>
      <w:r>
        <w:rPr>
          <w:b w:val="0"/>
          <w:i w:val="0"/>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pStyle w:val="Heading1"/>
      </w:pPr>
      <w:r>
        <w:t>7. Positive-control validation with the mock community</w:t>
      </w:r>
    </w:p>
    <w:p>
      <w:r>
        <w:rPr>
          <w:b w:val="0"/>
          <w:i w:val="0"/>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(Escherichia coli and Salmonella enterica each contributed a second divergent ASV at ~99.6%, consistent with their multiple non-identical 16S operons.)</w:t>
      </w:r>
    </w:p>
    <w:p>
      <w:r>
        <w:rPr>
          <w:i w:val="0"/>
          <w:color w:val="C00000"/>
        </w:rPr>
        <w:t>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Enterococcus faecalis and Staphylococcus aureus, whose full-length 16S differ between lots — so the mock ASVs match either reference equally and the recovery of 8/8 expected species is independent of the lot assignment.</w:t>
      </w:r>
    </w:p>
    <w:p>
      <w:pPr>
        <w:pStyle w:val="Heading1"/>
      </w:pPr>
      <w:r>
        <w:t>8. Downstream ecological analysis</w:t>
      </w:r>
    </w:p>
    <w:p>
      <w:pPr>
        <w:pStyle w:val="Heading2"/>
      </w:pPr>
      <w:r>
        <w:rPr>
          <w:b w:val="0"/>
          <w:i w:val="0"/>
        </w:rPr>
        <w:t>8.1 Decontamination</w:t>
      </w:r>
    </w:p>
    <w:p>
      <w:pPr/>
      <w:r>
        <w:rPr>
          <w:b w:val="0"/>
          <w:i w:val="0"/>
        </w:rPr>
        <w:t>Reagent and laboratory contaminants were identified with decontam v1.30.0 (Davis et al. 2018)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additionally removed 2.12 % of reads, including ASVs carrying genuine biological signal — most notably a Candidatus Branchiomonas ASV that was prevalent in gill and external tissues and essentially absent from negative controls — and was therefore rejected.</w:t>
      </w:r>
    </w:p>
    <w:p>
      <w:pPr>
        <w:pStyle w:val="Heading2"/>
      </w:pPr>
      <w:r>
        <w:rPr>
          <w:b w:val="0"/>
          <w:i w:val="0"/>
        </w:rPr>
        <w:t>8.2 Index-hopping assessment</w:t>
      </w:r>
    </w:p>
    <w:p>
      <w:pPr/>
      <w:r>
        <w:rPr>
          <w:b w:val="0"/>
          <w:i w:val="0"/>
        </w:rPr>
        <w:t>Cross-talk between libraries (index hopping) was quantified using the 75 empty wells, which received no library and in which any read therefore represents leakage (67 of them retained at least one read after filtering; the remaining 8 contained none). Across all empty wells these accumulated 41 reads out of 26.8 million (0.0002 %; median 0 reads per well, maximum 13), indicating negligible index hopping. No background-noise subtraction was applied on this basis.</w:t>
      </w:r>
    </w:p>
    <w:p>
      <w:pPr>
        <w:pStyle w:val="Heading2"/>
      </w:pPr>
      <w:r>
        <w:rPr>
          <w:b w:val="0"/>
          <w:i w:val="0"/>
        </w:rPr>
        <w:t>8.3 Mock-derived sample-level artefacts</w:t>
      </w:r>
    </w:p>
    <w:p>
      <w:pPr/>
      <w:r>
        <w:rPr>
          <w:b w:val="0"/>
          <w:i w:val="0"/>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b w:val="0"/>
          <w:i w:val="0"/>
        </w:rPr>
        <w:t>A de novo phylogeny was built from the ASV sequences with QIIME 2 (align-to-tree-mafft-fasttree): multiple alignment with MAFFT, masking of highly variable positions, tree inference with FastTree 2, and midpoint rooting. Fragment insertion into a reference backbone (SEPP) was not used because the ASVs are near-complete V4 amplicons (~251 bp) for which de novo alignment is appropriate. The resulting rooted tree covers all ASVs of the analysis table and supports UniFrac distances and Faith's phylogenetic diversity.</w:t>
      </w:r>
    </w:p>
    <w:p>
      <w:pPr>
        <w:pStyle w:val="Heading2"/>
      </w:pPr>
      <w:r>
        <w:rPr>
          <w:b w:val="0"/>
          <w:i w:val="0"/>
        </w:rPr>
        <w:t>8.6 Normalization of sequencing effort</w:t>
      </w:r>
    </w:p>
    <w:p>
      <w:pPr/>
      <w:r>
        <w:rPr>
          <w:b w:val="0"/>
          <w:i w:val="0"/>
        </w:rPr>
        <w:t>Uneven sequencing effort was controlled by rarefaction, currently the most robust approach for alpha- and beta-diversity metrics (Schloss 2024).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b w:val="0"/>
          <w:i/>
          <w:color w:val="1F4E79"/>
        </w:rPr>
        <w:t>[À COMPLÉTER : mode d'application de la raréfaction (tirage unique vs raréfaction répétée, Cameron et al. 2021) — à trancher. Puis : indices de diversité α retenus, distances β, modèles statistiques (modèles mixtes, PERMANOVA + PERMDISP), méthode d'abondance différentielle, et contrastes le long du gradient de la zone hybride. Cette dernière partie dépend de l'index hybride en cours de génotypage.]</w:t>
      </w:r>
    </w:p>
    <w:p>
      <w:pPr>
        <w:pStyle w:val="Heading2"/>
      </w:pPr>
      <w:r>
        <w:rPr>
          <w:i w:val="0"/>
        </w:rPr>
        <w:t>8.7 Technical replication structure</w:t>
      </w:r>
    </w:p>
    <w:p>
      <w:pPr/>
      <w:r>
        <w:rPr>
          <w:i w:val="0"/>
        </w:rPr>
        <w:t>The nested replication structure was characterised directly from the data. For the 548 samples reaching 3,000 reads in all three runs, each pair of runs was compared within sample after rarefaction to a common depth, so that detection probability is identical by construction. Two complementary statistics were used: Bray–Curtis and Jaccard dissimilarity between the two versions of a sample, and the recapture rate of rare ASVs (1–3 reads in one run, detected at all in the other).</w:t>
      </w:r>
    </w:p>
    <w:p>
      <w:pPr/>
      <w:r>
        <w:rPr>
          <w:i w:val="0"/>
        </w:rPr>
        <w:t>The two runs sharing a library (durance2 and durance3) were markedly more similar to each other (mean Bray–Curtis 0.118, Jaccard 0.445, rare-ASV recapture 0.484) than either was to the run from the independent library (durance1: Bray–Curtis 0.248 and 0.248, Jaccard 0.722 and 0.719, recapture 0.196 and 0.193). The two library-crossing comparisons were statistically indistinguishable from each other (paired Wilcoxon on Bray–Curtis, p = 0.48) and both differed strongly from the within-library comparison (p &lt; 10⁻⁸⁹). Raw per-sample depths were almost perfectly correlated within the shared library (Spearman ρ = 0.999) and only moderately so across libraries (ρ = 0.79). The pattern is therefore consistent with the design described in §3 and inconsistent with three interchangeable sequencing replicates.</w:t>
      </w:r>
    </w:p>
    <w:p>
      <w:pPr/>
      <w:r>
        <w:rPr>
          <w:i w:val="0"/>
        </w:rPr>
        <w:t>Two consequences follow for the analyses. First, library preparation roughly doubles the technical dissimilarity contributed by sequencing alone, and its effect is proportionally larger on presence–absence (Jaccard) than on relative abundances (Bray–Curtis), indicating that preparation mainly changes which rare taxa are detected. Second, sequencing run cannot be treated as a three-level factor with interchangeable levels, since the levels are not equidistant; run is instead modelled as sequencing nested within library preparation.</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p>
    <w:p>
      <w:r>
        <w:rPr>
          <w:i/>
          <w:color w:val="C00000"/>
        </w:rPr>
        <w:t>[À COMPLÉTER : dépôt des lectures brutes (SRA/ENA) et accession ; métadonnées au format MIxS ; lien vers le dépôt de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