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w:t>
      </w:r>
    </w:p>
    <w:p>
      <w:pPr/>
      <w:r>
        <w:rPr>
          <w:i w:val="0"/>
        </w:rPr>
        <w:t>Animals and the microbial communities they harbour form composite biological units in which microbial composition contributes to host performance and to tolerance of environmental constraints (Bordenstein and Theis 2015). These associations are established largely by the sorting of microbial pools from the surrounding environment, a sorting that reflects host ecology and physiology — feeding behaviour, which selects among available resources, and the immune pathways underlying tolerance of or resistance to microbes (Shapira 2016; Shropshire and Bordenstein 2016; Adair and Douglas 2017). Environmental acquisition is particularly important in fish, which live in a medium favourable to bacterial growth, are continuously exposed to microbes at their epithelial barriers, and are mostly oviparous with limited maternal effects compared with mammals (Llewellyn et al. 2014); accordingly, surveys of wild populations report a predominant environmental component of variation in bacterial composition (Sevellec et al. 2014; Smith et al. 2015; Chiarello et al. 2018). Host genotype is nonetheless not without effect. A fourteen-year follow-up of wild baboons found microbiome phenotypes to be almost universally heritable, but with a typically low heritability that depends on context, and its authors concluded that large sample sizes are required to quantify it (Grieneisen et al. 2021); in stickleback, a host genetic influence on the gut microbiome became measurable once biological and technical components of variance had been decomposed beforehand (Small et al. 2019). If host ancestry shapes the fish microbiota, the expected effect is therefore small relative to the environmental one, and detecting it requires both substantial sample sizes and explicit control of the spatial and technical axes along which it could be mimicked.</w:t>
      </w:r>
    </w:p>
    <w:p>
      <w:pPr/>
      <w:r>
        <w:rPr>
          <w:i w:val="0"/>
        </w:rPr>
        <w:t>Secondary contact zones make host ancestry a naturally occurring and naturally replicated variable, and they are where the question of a genomic contribution to microbiota assembly is posed most directly. Introgressive hybridisation may disrupt co-adapted gene complexes and thereby alter close host–microbe interactions (Wang et al. 2015); conversely, hybridisation is a source of genomic diversity and adaptive novelty involved in speciation and in range expansion into enlarged ecological niches (Pfennig et al. 2016; Schumer et al. 2018), and this diversity may extend to the microbiota through the acquisition of new microbial taxa. Three outcomes are usually contrasted: an intermediate or additive microbiota, varying monotonically with ancestry; dominance, in which hybrids resemble one parental species; and a transgressive microbiota, lying outside the range of both parents. Camper et al. (2024) gave this comparison an explicit framework for host-associated microbiomes, in which four idealised models of taxon membership — Union, Intersection, Gain and Loss — are never realised in pure form, so that the index measures the relative weight of each and the four weights sum to one. The Gain–Loss axis of that framework provides an operational definition of a transgressive microbiota, one that does not presuppose a cost to the host. The distinction matters, because the equation between transgression and dysbiosis has been challenged: on an ecologically successful hybrid lizard, Camper et al. (2025) report widespread transgressive segregation correlated with a restructuring of niche, and argue that the negative conclusions of the literature rest disproportionately on hybrids of low adaptive value. We follow the framework's own statement of scope, that the index describes a pattern and not a process, in the same sense as a beta-diversity measure.</w:t>
      </w:r>
    </w:p>
    <w:p>
      <w:pPr/>
      <w:r>
        <w:rPr>
          <w:i w:val="0"/>
        </w:rPr>
        <w:t xml:space="preserve">What is known of hybrid microbiota in fish comes almost entirely from controlled crosses. Reciprocal hybrids of bream and culter, whose parents have contrasting feeding habits, show a strong correspondence between genotype and intestinal characteristics (Li et al. 2018); in intrageneric </w:t>
      </w:r>
      <w:r>
        <w:rPr>
          <w:i/>
        </w:rPr>
        <w:t>Takifugu</w:t>
      </w:r>
      <w:r>
        <w:rPr>
          <w:i w:val="0"/>
        </w:rPr>
        <w:t xml:space="preserve"> hybrids, host hybridisation outweighs cohabitation in shaping the gut microbiota (Jin et al. 2023); reciprocal hybrids of koi and goldfish resemble one parent rather than the midpoint of the two (Wang et al. 2022); and whitefish species pairs with their reciprocal hybrids have been compared in natural and controlled environments (Sevellec et al. 2019). This body of work has been reviewed recently (Cui et al. 2022). Studies of natural hybrid zones in other vertebrates, for their part, do not converge. Host ancestry predominates in </w:t>
      </w:r>
      <w:r>
        <w:rPr>
          <w:i/>
        </w:rPr>
        <w:t>Neotoma</w:t>
      </w:r>
      <w:r>
        <w:rPr>
          <w:i w:val="0"/>
        </w:rPr>
        <w:t xml:space="preserve"> woodrats, where habitat determines diet but genotype determines the gut microbiota (Nielsen et al. 2022), and in hybridising brown lemurs along a 180 km transect (Donohue et al. 2025). The opposite conclusion is reached in baboons spanning a hybrid zone, where site soil properties rather than genetic ancestry, relatedness or between-population genetic distance explain the gut microbiota (Grieneisen et al. 2019), and in wild house mice, where an apparent effect of admixture becomes weak once spatial autocorrelation is taken into account, on two replicates of the same hybrid zone (Čížková et al. 2023). In hybridising chickadees moved to a common environment, the change of environment affected microbiota richness but not community composition, while a corresponding effect of ancestry on composition was not statistically supported (Russell et al. 2026) — a result that argues for reporting alpha and beta diversity separately rather than for a directed expectation on either. Across this literature, no study combines a natural hybrid zone in fish, host ancestry quantified by genotyping rather than assigned by cross class, and several tissue compartments characterised in the same individual.</w:t>
      </w:r>
    </w:p>
    <w:p>
      <w:pPr/>
      <w:r>
        <w:rPr>
          <w:i w:val="0"/>
        </w:rPr>
        <w:t xml:space="preserve">The nase </w:t>
      </w:r>
      <w:r>
        <w:rPr>
          <w:i/>
        </w:rPr>
        <w:t>Chondrostoma nasus</w:t>
      </w:r>
      <w:r>
        <w:rPr>
          <w:i w:val="0"/>
        </w:rPr>
        <w:t xml:space="preserve"> and the South-west European nase, or toxostome, </w:t>
      </w:r>
      <w:r>
        <w:rPr>
          <w:i/>
        </w:rPr>
        <w:t>Parachondrostoma toxostoma</w:t>
      </w:r>
      <w:r>
        <w:rPr>
          <w:i w:val="0"/>
        </w:rPr>
        <w:t xml:space="preserve"> offer that combination. The toxostome is endemic to southern France, where it is declining and is a species of conservation concern; the nase originates from central Europe and entered the Rhône basin following the construction of navigable connections across Europe during the last century (Gilles 1998), so that the two distributions have partially overlapped for about a hundred years. Hybridisation has been detected in the patchily distributed sympatric areas of the basin, with an incidence unrelated to habitat characteristics (Costedoat et al. 2005; Sinama et al. 2013; Guivier et al. 2019) — the configuration of a mosaic hybrid zone (Seehausen et al. 2008). Guivier et al. (2017) characterised the microbiota of four tissue compartments of the two species in strict parapatry on a single river, and found the tissue compartment to be the first factor of variation, with a marked contrast between externally and internally exposed tissues and with proportions of species-specific taxa that were asymmetric between compartments: the nase carried many specific taxa on its external tissues, the toxostome in its intestine. On that basis the authors proposed that introgressive hybridisation might affect the microbiota differently depending on the tissue considered, and closed by announcing the exploration of hybrid microbiota rearrangement, which their sample of sixteen fish at two stations could not support. The present study is that exploration, on 180 fish sampled at nine stations over six watercourses of the Rhône drainage in two years, with host ancestry resolved by genotyping across 25 chromosomes rather than by morphology, and with the same four compartments — caudal fin, gill, midgut and hindgut — characterised in each individual.</w:t>
      </w:r>
    </w:p>
    <w:p>
      <w:pPr/>
      <w:r>
        <w:rPr>
          <w:i w:val="0"/>
        </w:rPr>
        <w:t>We ask whether the microbiota of individuals of mixed ancestry is intermediate between the two parental species, dominated by one of them, or displaced outside their range, and whether the answer is the same in all four compartments. Three points of design are stated at the outset rather than introduced with the results. First, because genotyping across 25 chromosomes separates an intermediate genome from a near-parental genome introgressed on a single chromosome, what counts as a hybrid is a decision and not a given: the contrast is therefore run twice, on intermediate genomes alone and on the wider set including introgressed near-parental individuals, with both passes declared in advance, and the displacement of the result between them measures the contribution of the introgressed individuals, a random-removal control separating that contribution from the accompanying change in sample size. Second, the comparison is reported both as a category contrast in a model spanning all stations — the only admissible form given the low heritability expected from Grieneisen et al. (2021) — and, as a complementary characterisation, as the four-dimensional index of Camper et al. (2024), whose core threshold and taxonomic rank are fixed a priori and whose sensitivity is reported, since on a natural hybrid system these choices move the index more than sample size or sequencing depth do. Third, genotypic category is entangled with the spatial axis in this design, station being by far the strongest correlate of composition, and field processing order propagated to plate position, whose effect on composition is real; results on category are consequently reported bracketed between the two sequential orderings rather than as a single decomposition, without plate position in the principal models and with it as a covariate in a sensitivity analysis, and read as patterns co-varying with station and with category rather than as effects of ancestry alone. Two stations of the same river, 25 km apart and separated by a weir passable only downstream, were sampled in two successive years and provide an internal reference in which the two parental species occupy separate stations of one river: C. nasus with two intermediate hybrids at one (14 individuals), P. toxostoma alone at the other (19). Following Guivier et al. (2017), we expect any hybrid signal to be most pronounced in the digestive compartments, where the two parental species diverge most, rather than uniformly across the four tissues.</w:t>
      </w:r>
    </w:p>
    <w:p>
      <w:pPr/>
      <w:r>
        <w:rPr>
          <w:i/>
          <w:color w:val="888888"/>
          <w:sz w:val="18"/>
        </w:rPr>
        <w:t>[Introduction, draft 1 — points à trancher. (i) Le document n'a pas de titre d'article : « Introduction » et « Materials and Methods » sont deux titres de section de même niveau. (ii) Les références Wang et al. (2015) et Sevellec et al. (2014) proviennent de la liste du manuscrit d'origine et n'ont pas été relues en texte intégral : vérifier leur pertinence à l'endroit où elles sont placées. (iii) Deux corrections à propager dans docs/biblio/microbiome_hybrid_all_refs.bib : Small et al. est daté 2018 alors que Crossref donne 2019 pour 10.1128/msystems.00331-19 ; et le corégone y figure comme préprint (10.1101/312231) alors que la version publiée existe — Sevellec et al. 2019, Ecology and Evolution, 10.1002/ece3.5676, qui est la version citée ici. (iv) Les deux passes de définition de l'hybride et le traitement de la position de plaque (D2) sont alignés sur le §1 et le §8.6 (2026-09-25). Les paramètres a priori du 4H (seuil de core, rang taxonomique) ne sont pas encore fixés : le §8.6 ne les décrit pas. (v) « near-parental genome introgressed on a single chromosome » n'est pas vérifiable sur genotypes_verifies_sept_180.csv, qui ne porte pas les assignations par chromosome : à confirmer avec André.]</w:t>
      </w:r>
    </w:p>
    <w:p>
      <w:pPr>
        <w:pStyle w:val="Title"/>
      </w:pPr>
      <w:r>
        <w:rPr>
          <w:i w:val="0"/>
        </w:rPr>
        <w:t>Materials and Methods</w:t>
      </w:r>
    </w:p>
    <w:p>
      <w:r>
        <w:rPr>
          <w:i/>
          <w:color w:val="888888"/>
          <w:sz w:val="18"/>
        </w:rPr>
        <w:t>Projet microbiome-hybrid. Les paramètres bioinformatiques (§5–7) sont extraits des scripts versionnés. Dépôt ENA des lectures brutes : PRJEB124417 (§9). Les passages entre crochets et en gris sont des notes éditoriales à trancher ou compléter avant soumission ; ils ne font pas partie du texte de l'article.</w:t>
      </w:r>
    </w:p>
    <w:p>
      <w:pPr>
        <w:pStyle w:val="Heading1"/>
      </w:pPr>
      <w:r>
        <w:t>1. Study system and sampling</w:t>
      </w:r>
    </w:p>
    <w:p>
      <w:r>
        <w:rPr>
          <w:b w:val="0"/>
          <w:i w:val="0"/>
        </w:rPr>
      </w:r>
      <w:r>
        <w:rPr>
          <w:i w:val="0"/>
          <w:color w:val="1F4E79"/>
        </w:rPr>
      </w:r>
      <w:r>
        <w:rPr>
          <w:i w:val="0"/>
        </w:rPr>
        <w:t>We studied the host-associated bacterial microbiota of two interbreeding cyprinid fishes, the nase Chondrostoma nasus (code Cn) and the toxostome Parachondrostoma toxostoma (code Pt), together with their hybrids (code Hy), in their contact zone. Fish were sampled at nine stations of the Rhône drainage (rivers Durance, Suran, Buech, Beaume and Ardèche, and one canal fed by the Largue; south-eastern France) over two years (2014 and 2015), spanning a gradient of hybrid-zone context (allopatry, sympatry with hybridisation, and asymmetric introgression). Two of the nine stations lie on the Suran, 25.4 km apart and separated by a barrier passable only downstream; they are treated as distinct stations throughout because they carry different taxa.</w:t>
      </w:r>
    </w:p>
    <w:p>
      <w:r>
        <w:rPr>
          <w:b w:val="0"/>
          <w:i w:val="0"/>
        </w:rPr>
        <w:t>Specimens were captured by electrofishing, euthanised by cervical dislocation, and immediately dissected with sterile material. The study was conducted according to international guidelines of animal care and under national protocol authorisations n° 2014-156-0001 and n° 2015-1426DDT605.</w:t>
      </w:r>
    </w:p>
    <w:p>
      <w:r>
        <w:rPr>
          <w:i/>
          <w:color w:val="888888"/>
          <w:sz w:val="18"/>
        </w:rPr>
        <w:t>[Transposé du manuscrit d'origine — à confirmer pour le lot Durance : mode de capture (pêche électrique), euthanasie par dislocation cervicale et numéros d'autorisation — identiques au manuscrit d'origine ; vérifier qu'ils couvrent bien l'ensemble des 9 sites et les deux années.]</w:t>
      </w:r>
    </w:p>
    <w:p>
      <w:r/>
      <w:r>
        <w:rPr>
          <w:i w:val="0"/>
          <w:color w:val="1F4E79"/>
        </w:rPr>
        <w:t>Stations, rivers, WGS84 coordinates, collection dates, years of sampling, genotypic composition and the number of individuals and libraries per station are given in Supplementary Table S1. Coordinates and collection dates are field records supplied by the collecting team; an earlier version of this dataset carried coordinates extrapolated from commune names, which have been replaced (see the note to Table S1).</w:t>
      </w:r>
    </w:p>
    <w:p>
      <w:pPr/>
      <w:r>
        <w:rPr>
          <w:i w:val="0"/>
        </w:rPr>
      </w:r>
      <w:r>
        <w:rPr>
          <w:i w:val="0"/>
          <w:color w:val="1F4E79"/>
        </w:rPr>
        <w:t>Individuals are counted per site code and year of sampling, since the same station sampled in two years contributes distinct individuals to the design. Counting this way gives 180 individuals; collapsing years gives 156, because individual numbering restarts each year and identical numbers at one site are then merged. The two figures describe the same fish: 180 is the count used in the analyses, 156 the count obtained if the year is ignored.</w:t>
      </w:r>
    </w:p>
    <w:p>
      <w:r>
        <w:rPr>
          <w:b w:val="0"/>
          <w:i/>
        </w:rPr>
      </w:r>
      <w:r>
        <w:rPr>
          <w:i w:val="0"/>
          <w:color w:val="1F4E79"/>
        </w:rPr>
        <w:t>Species identity was resolved by genotyping rather than by morphology. Each individual was assigned, from a chromosome-level assignment across 25 chromosomes, to one of three categories — Cn (59 individuals), Hy (42) and Pt (79) — and not by thresholding a median hybrid index, because a substantial minority of hybrids carry an extreme median index and their inter-chromosome discordance is what identifies them. Of the 180 individuals, 175 were genotyped from Q-scores on liver tissue. The remaining five, all assigned to a parental category, were resolved by other routes: three from Q-score fits on midgut and caudal fin, which agreed in assigning them to P. toxostoma, and two from an earlier and closely related method that left no Q-score record, so that no median index and no inter-chromosome discordance are reported for the latter two. The Hy category comprises two genome types: 20 intermediate genomes, and 22 near-parental genomes. What counts as a hybrid is therefore a decision, and every analysis of category is run twice, both passes being declared in advance: pass 1 retains the 20 intermediate hybrids and excludes the 22 near-parental individuals, which are not reassigned to a parental category (158 individuals); pass 2 retains all 42 (180 individuals). Nine of the 49 individuals previously identified on morphology were reclassified. Three stations carry all three categories — 74 individuals in pass 2 and 65 in pass 1, where Saint-Just-d'Ardèche retains a single hybrid — which is the subset in which the hybrid contrast can be tested within a station.</w:t>
      </w:r>
    </w:p>
    <w:p>
      <w:pPr>
        <w:pStyle w:val="Heading1"/>
      </w:pPr>
      <w:r>
        <w:t>2. Tissue sampling and preservation</w:t>
      </w:r>
    </w:p>
    <w:p>
      <w:r>
        <w:rPr>
          <w:b w:val="0"/>
          <w:i w:val="0"/>
        </w:rPr>
        <w:t>Four tissues were sampled per fish, spanning a gradient of contact with the external environment: caudal fin (code 01), midgut (02), hindgut (03) and gill (05). A piece of each tissue was stored in 95% ethanol at −80 °C until molecular analysis. Nine tissues were re-extracted independently (flagged ‘bis’) and are treated as technical replicates.</w:t>
      </w:r>
    </w:p>
    <w:p>
      <w:r>
        <w:rPr>
          <w:i/>
          <w:color w:val="888888"/>
          <w:sz w:val="18"/>
        </w:rPr>
        <w:t>[Transposé du manuscrit d'origine — à confirmer pour le lot Durance : conservation en éthanol 95% à −80 °C et dissection stérile — repris du manuscrit d'origine (gills/midgut) et étendus ici aux 4 tissus ; confirmer que caudale et hindgut ont suivi le même protocole.]</w:t>
      </w:r>
    </w:p>
    <w:p>
      <w:pPr>
        <w:pStyle w:val="Heading1"/>
      </w:pPr>
      <w:r>
        <w:t>3. DNA extraction, 16S library preparation and sequencing</w:t>
      </w:r>
    </w:p>
    <w:p>
      <w:r>
        <w:rPr>
          <w:b w:val="0"/>
          <w:i w:val="0"/>
        </w:rPr>
        <w:t>Bacterial DNA was extracted from each tissue with the Qiagen Food Mericon kit (Qiagen, Venlo, Netherlands), following a slightly modified protocol detailed in Guivier et al. (2018). A 251 bp fragment of the V4 region of the bacterial 16S rRNA gene was amplified using the dual-index method of Kozich et al. (2013), with forward and reverse primers carrying an 8 bp index and Illumina adapters (Caporaso primers 515F GTGCCAGCMGCCGCGGTAA / 806R GGACTACHVGGGTWTCTAAT). DNA amplification, purification and pooling of PCR products followed Galan et al. (2016). The final library was quantified with the Kapa quantification kit (Kapa Biosystems) and loaded on an Illumina MiSeq flow cell with reagent kit v3 (2 × 300 cycles).</w:t>
      </w:r>
    </w:p>
    <w:p>
      <w:r>
        <w:rPr>
          <w:b w:val="0"/>
          <w:i w:val="0"/>
        </w:rPr>
        <w:t>For the present study the 768 samples were processed through two independent library preparations, each using the one-step dual-index PCR of Kozich et al. (2013), in which the indices are incorporated during amplification. The first amplicon library was sequenced once (run durance1); the second, prepared from an independent PCR of the same samples, was sequenced twice on separate flow cells (runs durance2 and durance3). The same plate layout and the same set of 768 index combinations were used for both preparations, but the assignment of index pairs to wells differs between them: relative to durance1, the i7 index differs for 384 of the 768 libraries and the i5 index for 576, whereas durance2 and durance3 carry identical index pairs throughout (Supplementary Data, Index assignment). A distinct index assignment is a direct consequence of the one-step protocol, in which re-indexing an existing amplicon pool is not possible. Each biological sample is therefore represented three times, but with a nested rather than a flat replication structure: two levels of library preparation, and two sequencing runs within the second library. This design separates the variability contributed by library preparation from that contributed by sequencing alone, and neither is confounded with any biological factor.</w:t>
      </w:r>
    </w:p>
    <w:p>
      <w:r>
        <w:rPr>
          <w:i/>
          <w:color w:val="888888"/>
          <w:sz w:val="18"/>
        </w:rPr>
        <w:t>[Transposé du manuscrit d'origine (même équipe, même assay) : kit Qiagen Food Mericon, dual-index Kozich (2013), protocole Galan (2016), quantification Kapa, MiSeq v3 (2×300). Le manuscrit d'origine ne portait que sur une partie des données (branchie et midgut) ; le plan Durance à quatre tissus fait foi — confirmé par les co-auteurs.]</w:t>
      </w:r>
    </w:p>
    <w:p>
      <w:r>
        <w:rPr>
          <w:i w:val="0"/>
          <w:color w:val="1F4E79"/>
        </w:rPr>
        <w:t>Libraries were sequenced on an Illumina MiSeq on 10 July 2017 (durance1), 5 October 2017 (durance2) and 3 November 2017 (durance3), with a 10 % PhiX spike-in. PCR conditions, purification and pooling followed Galan et al. (2016).</w:t>
      </w:r>
      <w:r>
        <w:t xml:space="preserve"> Run labels, flow cells, dates and the mapping of runs to library preparations are given in Supplementary Table S4.</w:t>
      </w:r>
    </w:p>
    <w:p>
      <w:pPr>
        <w:pStyle w:val="Heading1"/>
      </w:pPr>
      <w:r>
        <w:t>4. Controls</w:t>
      </w:r>
    </w:p>
    <w:p>
      <w:r>
        <w:rPr>
          <w:b w:val="0"/>
          <w:i w:val="0"/>
        </w:rPr>
        <w:t>Negative controls comprised extraction blanks and no-template PCR controls; the original sequencing project of this laboratory reports the same two categories (four extraction negative controls and eight amplification negative controls). In the Durance dataset we verified four extraction blanks — one per tissue (Blanc-Caudal, Blanc-Branchie, Blanc-Midgut, Blanc-Hindgut) — and eight no-template PCR controls (T-1 to T-8), each sequenced in all three runs, i.e. 12 and 24 control samples respectively (36 negative controls in total). Two aliquots of a commercial mock community — the ZymoBIOMICS Microbial Community Standard (Zymo Research, Irvine, CA, USA), a defined mixture of eight known bacterial taxa — were processed alongside the samples as positive controls (6 mock samples across runs). In addition, 75 empty wells received no library and were sequenced to monitor index hopping between libraries.</w:t>
      </w:r>
    </w:p>
    <w:p>
      <w:r>
        <w:rPr>
          <w:i/>
          <w:color w:val="888888"/>
          <w:sz w:val="18"/>
        </w:rPr>
        <w:t>[Transposé du manuscrit d'origine — à confirmer pour le lot Durance : standard ZymoBIOMICS (8 taxons bactériens connus) et inclusion de contrôles négatifs/mock — repris du manuscrit d'origine.]</w:t>
      </w:r>
    </w:p>
    <w:p>
      <w:r>
        <w:rPr>
          <w:i w:val="0"/>
          <w:color w:val="1F4E79"/>
        </w:rPr>
        <w:t>The mock community was the ZymoBIOMICS Microbial Community Standard (Zymo Research, cat. D6300).</w:t>
      </w:r>
      <w:r>
        <w:t xml:space="preserve"> The number of biological samples, controls and empty wells actually deposited is given in Supplementary Table S2.</w:t>
      </w:r>
    </w:p>
    <w:p>
      <w:pPr>
        <w:pStyle w:val="Heading1"/>
      </w:pPr>
      <w:r>
        <w:t>5. Sequence processing overview</w:t>
      </w:r>
    </w:p>
    <w:p>
      <w:r>
        <w:rPr>
          <w:b w:val="0"/>
          <w:i w:val="0"/>
        </w:rPr>
        <w:t>Reads were processed with a custom, version-controlled pipeline (git-tracked; each parameter justified in the script headers). The three runs were processed separately through denoising and merged thereafter. Software versions: cutadapt 5.0; R 4.5.3 with DADA2 1.38.0; SILVA reference v138.2 (DADA2 formatted, Zenodo 14169026); BLAST+ 2.13.0; FastQC and MultiQC for quality control. The 16S V4 primers, being also the sequencing primers (Schloss dual-index protocol), are not present in the reads; no 5′ primer trimming was therefore applied.</w:t>
      </w:r>
    </w:p>
    <w:p>
      <w:pPr>
        <w:pStyle w:val="Heading2"/>
      </w:pPr>
      <w:r>
        <w:t>5.1 Quality control</w:t>
      </w:r>
    </w:p>
    <w:p>
      <w:r>
        <w:rPr>
          <w:b w:val="0"/>
          <w:i w:val="0"/>
        </w:rPr>
        <w:t>Per-run read quality was assessed with FastQC and aggregated with MultiQC.</w:t>
      </w:r>
    </w:p>
    <w:p>
      <w:pPr>
        <w:pStyle w:val="Heading2"/>
      </w:pPr>
      <w:r>
        <w:t>5.2 Removal of co-amplified host 12S rRNA</w:t>
      </w:r>
    </w:p>
    <w:p>
      <w:r>
        <w:rPr>
          <w:b w:val="0"/>
          <w:i w:val="0"/>
        </w:rPr>
        <w:t>The 16S V4 primers co-amplify the host mitochondrial 12S rRNA gene (15–67% of reads per sample). Because the host 12S amplicon (~190 bp) is shorter than the bacterial V4 amplicon (~253 bp), host reads were removed upstream by length with cutadapt 5.0: the reverse complements of 806R and 515F were sought at the 3′ end of R1 and R2 respectively (options -a/-A, error rate -e 0.1, minimum overlap -O 10), and read pairs shorter than 240 bp after trimming (--minimum-length 240) were discarded. In a genuine ~253 bp V4 amplicon the opposite primer is never reached within a 251 bp read, so the read stays near full length and is retained; shorter host 12S reads are trimmed below threshold and removed. Discarded reads were kept separately (--too-short-output) as an exploitable host signal.</w:t>
      </w:r>
    </w:p>
    <w:p>
      <w:pPr>
        <w:pStyle w:val="Heading2"/>
      </w:pPr>
      <w:r>
        <w:t>5.3 ASV inference (DADA2, per run)</w:t>
      </w:r>
    </w:p>
    <w:p>
      <w:r>
        <w:rPr>
          <w:b w:val="0"/>
          <w:i w:val="0"/>
        </w:rPr>
        <w:t>Amplicon sequence variants (ASVs) were inferred with DADA2 1.38.0, independently for each run. Reads were quality-filtered and truncated with filterAndTrim (truncLen = 230 for R1 and 190 for R2; maxN = 0; maxEE = c(2, 2); truncQ = 2; rm.phix = TRUE), preserving a large (~167 bp) overlap for the ~253 bp V4 insert with 2×251 bp reads. Error models were learned separately per run (learnErrors), reflecting three distinct MiSeq runs, and reads were denoised (dada) and merged (mergePairs) into per-run sequence tables (makeSequenceTable).</w:t>
      </w:r>
    </w:p>
    <w:p>
      <w:pPr>
        <w:pStyle w:val="Heading2"/>
      </w:pPr>
      <w:r>
        <w:t>5.4 Table merging, chimera removal and taxonomy</w:t>
      </w:r>
    </w:p>
    <w:p>
      <w:r>
        <w:rPr>
          <w:b w:val="0"/>
          <w:i w:val="0"/>
        </w:rPr>
        <w:t>The three per-run sequence tables were combined with mergeSequenceTables, keeping the runs of each library distinct (samples suffixed by run, e.g. __durance1) so that the run effect remains estimable. Chimeras were removed from the merged table with removeBimeraDenovo (method = "consensus"). Taxonomy was assigned against SILVA v138.2 with the naïve Bayesian classifier (assignTaxonomy, tryRC = TRUE) and species-level exact matching (addSpecies). assignTaxonomy replicates the reference per thread and required 256 GB RAM.</w:t>
      </w:r>
    </w:p>
    <w:p>
      <w:pPr>
        <w:pStyle w:val="Heading2"/>
      </w:pPr>
      <w:r>
        <w:t>5.5 Non-target filtering</w:t>
      </w:r>
    </w:p>
    <w:p>
      <w:r>
        <w:rPr>
          <w:b w:val="0"/>
          <w:i w:val="0"/>
        </w:rPr>
        <w:t>ASVs assigned to Eukaryota or unassigned at the domain level, to Chloroplast (Order) or to Mitochondria (Family) were removed; the mitochondrial ASVs correspond to residual full-length host 12S captured by the taxonomic safety net.</w:t>
      </w:r>
    </w:p>
    <w:p>
      <w:pPr>
        <w:pStyle w:val="Heading1"/>
      </w:pPr>
      <w:r>
        <w:t>6. Resulting dataset</w:t>
      </w:r>
    </w:p>
    <w:p>
      <w:r>
        <w:rPr>
          <w:b w:val="0"/>
          <w:i w:val="0"/>
        </w:rPr>
        <w:t>Processing yielded a filtered ASV table of 44,349 ASVs across 2,295 samples (of 2,304 expected; nine empty after filtering: eight controls and one biological sample present in the two other runs). Median read-pair merging was 93–94% and ~98% of reads were retained after chimera removal; ASV length peaked sharply at 251 bp with no residual 12S. The ASV table is joined to the sample metadata (taxon, tissue, site, year, length, weight, sex) by a composite key of the form {sample}__{run}.</w:t>
      </w:r>
    </w:p>
    <w:p>
      <w:pPr>
        <w:pStyle w:val="Heading1"/>
      </w:pPr>
      <w:r>
        <w:t>7. Positive-control validation with the mock community</w:t>
      </w:r>
    </w:p>
    <w:p>
      <w:r>
        <w:rPr>
          <w:b w:val="0"/>
          <w:i w:val="0"/>
        </w:rPr>
        <w:t>The six mock samples (two aliquots × three runs) were used to validate ASV inference. Mock ASVs were compared by BLASTn (BLAST+ 2.13.0) against a reference of the eight bacterial 16S sequences of the ZymoBIOMICS standard. Because Zymo changed five strains from lot ZRC190633 onward, the earlier strain-set reference (archive ZR160406, corresponding to lots predating the 2019 strain change) was used. A confident match required ≥99% identity over ≥240 aligned bp. For each mock we computed the proportion of confidently Zymo-matching reads, the number of the eight expected species recovered, and the number of spurious ASVs (≥1% of sample reads without a confident hit). All six mocks recovered the eight expected species, with the eight dominant ASVs matching the reference at 100% identity over 251 bp; confidently matching reads represented ~100% of reads in every mock and no spurious ASV exceeded 1%, confirming accurate and clean ASV inference. (Escherichia coli and Salmonella enterica each contributed a second divergent ASV at ~99.6%, consistent with their multiple non-identical 16S operons.)</w:t>
      </w:r>
    </w:p>
    <w:p>
      <w:r>
        <w:rPr>
          <w:i w:val="0"/>
          <w:color w:val="C00000"/>
        </w:rPr>
        <w:t>Lot numbers were not recorded for the standard used here; however, sequencing was performed in 2017 (July–November), which predates the ZRC190633 lot from which the five strains were changed, so the earlier strain set applies. This choice does not affect the validation: we verified that over the amplified V4 region the 16S sequences of the two reference sets are identical for all eight species — including Enterococcus faecalis and Staphylococcus aureus, whose full-length 16S differ between lots — so the mock ASVs match either reference equally and the recovery of 8/8 expected species is independent of the lot assignment.</w:t>
      </w:r>
    </w:p>
    <w:p>
      <w:pPr>
        <w:pStyle w:val="Heading1"/>
      </w:pPr>
      <w:r>
        <w:t>8. Downstream ecological analysis</w:t>
      </w:r>
    </w:p>
    <w:p>
      <w:pPr>
        <w:pStyle w:val="Heading2"/>
      </w:pPr>
      <w:r>
        <w:rPr>
          <w:b w:val="0"/>
          <w:i w:val="0"/>
        </w:rPr>
        <w:t>8.1 Decontamination</w:t>
      </w:r>
    </w:p>
    <w:p>
      <w:pPr/>
      <w:r>
        <w:rPr>
          <w:b w:val="0"/>
          <w:i w:val="0"/>
        </w:rPr>
        <w:t>Reagent and laboratory contaminants were identified with decontam v1.30.0 (Davis et al. 2018) using the prevalence method, which contrasts the prevalence of each ASV in true samples against negative controls. DNA concentrations were not available for the Durance libraries, precluding the frequency method. The negative set comprised extraction blanks and PCR (no-template) negative controls, each present in all three sequencing runs (36 control samples in total); mock communities and empty wells were excluded from this step. Batches were defined by sequencing run. Two classification thresholds were compared (0.1, the package default, and 0.5). The default threshold of 0.1 was retained: it flagged 66 ASVs (0.15 % of ASVs) while retaining 99.76 % of reads, and the flagged taxa were taxonomically consistent with common reagent contaminants (Pseudomonadaceae, Moraxellaceae, Micrococcaceae, Propionibacteriaceae, Streptococcaceae). The more aggressive 0.5 threshold additionally removed 2.12 % of reads, including ASVs carrying genuine biological signal — most notably a Candidatus Branchiomonas ASV that was prevalent in gill and external tissues and essentially absent from negative controls — and was therefore rejected.</w:t>
      </w:r>
    </w:p>
    <w:p>
      <w:pPr>
        <w:pStyle w:val="Heading2"/>
      </w:pPr>
      <w:r>
        <w:rPr>
          <w:b w:val="0"/>
          <w:i w:val="0"/>
        </w:rPr>
        <w:t>8.2 Index-hopping assessment</w:t>
      </w:r>
    </w:p>
    <w:p>
      <w:pPr/>
      <w:r>
        <w:rPr>
          <w:b w:val="0"/>
          <w:i w:val="0"/>
        </w:rPr>
        <w:t>Cross-talk between libraries (index hopping) was quantified using the 75 empty wells, which received no library and in which any read therefore represents leakage (67 of them retained at least one read after filtering; the remaining 8 contained none). Across all empty wells these accumulated 41 reads out of 26.8 million (0.0002 %; median 0 reads per well, maximum 13), indicating negligible index hopping. No background-noise subtraction was applied on this basis.</w:t>
      </w:r>
    </w:p>
    <w:p>
      <w:pPr>
        <w:pStyle w:val="Heading2"/>
      </w:pPr>
      <w:r>
        <w:rPr>
          <w:b w:val="0"/>
          <w:i w:val="0"/>
        </w:rPr>
        <w:t>8.3 Mock-derived sample-level artefacts</w:t>
      </w:r>
    </w:p>
    <w:p>
      <w:pPr/>
      <w:r>
        <w:rPr>
          <w:b w:val="0"/>
          <w:i w:val="0"/>
        </w:rPr>
        <w:t>The ten ASVs matching the ZymoBIOMICS reference strains were used as exogenous tracers to screen biological samples. Two nominal individuals consisted of a single caudal-fin sample dominated by mock ASVs (70 % and 99 % of reads) and were positioned in the wells and index series of the mock controls; they were confirmed as mislabelled mock wells and excluded from the biological dataset. A further nine complete individuals showed mock ASVs at 20–65 % in a single well-tissue combination, with their remaining tissues unaffected, consistent with well-level contamination rather than sample-wide carry-over. The affected wells were mostly external tissues (13 caudal fin, 3 gill) but also included four digestive-tissue wells (3 hindgut, 1 midgut). For these samples the mock ASVs were removed and the remaining, legitimate ASVs retained. Mock ASVs were removed from all samples, and ASVs left with zero counts were discarded.</w:t>
      </w:r>
    </w:p>
    <w:p>
      <w:pPr>
        <w:pStyle w:val="Heading2"/>
      </w:pPr>
      <w:r>
        <w:rPr>
          <w:b w:val="0"/>
          <w:i w:val="0"/>
        </w:rPr>
        <w:t>8.4 Analysis dataset</w:t>
      </w:r>
    </w:p>
    <w:p>
      <w:pPr/>
      <w:r>
        <w:rPr>
          <w:b w:val="0"/>
          <w:i w:val="0"/>
        </w:rPr>
        <w:t>After decontamination and removal of mock-derived artefacts, the analysis table comprised 44,200 ASVs across 2,180 biological samples (26.1 million reads). Median sequencing depth was 10,129 reads per sample.</w:t>
      </w:r>
    </w:p>
    <w:p>
      <w:pPr>
        <w:pStyle w:val="Heading2"/>
      </w:pPr>
      <w:r>
        <w:rPr>
          <w:b w:val="0"/>
          <w:i w:val="0"/>
        </w:rPr>
        <w:t>8.5 Phylogenetic tree</w:t>
      </w:r>
    </w:p>
    <w:p>
      <w:pPr/>
      <w:r>
        <w:rPr>
          <w:b w:val="0"/>
          <w:i w:val="0"/>
        </w:rPr>
        <w:t>A de novo phylogeny was built from the ASV sequences with QIIME 2 (align-to-tree-mafft-fasttree): multiple alignment with MAFFT, masking of highly variable positions, tree inference with FastTree 2, and midpoint rooting. Fragment insertion into a reference backbone (SEPP) was not used because the ASVs are near-complete V4 amplicons (~251 bp) for which de novo alignment is appropriate. The resulting rooted tree covers all ASVs of the analysis table and supports UniFrac distances and Faith's phylogenetic diversity.</w:t>
      </w:r>
    </w:p>
    <w:p>
      <w:pPr>
        <w:pStyle w:val="Heading2"/>
      </w:pPr>
      <w:r>
        <w:rPr>
          <w:b w:val="0"/>
          <w:i w:val="0"/>
        </w:rPr>
        <w:t>8.6 Normalization of sequencing effort</w:t>
      </w:r>
    </w:p>
    <w:p>
      <w:pPr/>
      <w:r>
        <w:rPr>
          <w:b w:val="0"/>
          <w:i w:val="0"/>
        </w:rPr>
        <w:t>Uneven sequencing effort was controlled by rarefaction, currently the most robust approach for alpha- and beta-diversity metrics (Schloss 2024). No universal threshold exists; the depth was therefore chosen on the data using three criteria. First, richness plateaued below 3,000 reads in rarefaction curves, so this depth captures the recoverable diversity. Second, a threshold of 3,000 reads retained 81.8 % of samples (1,784/2,180), against 72.6 % at 5,000 reads. Third — and decisively — sample retention at 3,000 reads was balanced across sequencing runs (80.2–83.5 % per run), the main technical batch factor, so rarefaction does not confound depth with batch. A higher threshold was rejected because it increased uneven sample loss across sites and taxa without improving coverage.</w:t>
      </w:r>
    </w:p>
    <w:p>
      <w:pPr/>
      <w:r>
        <w:rPr>
          <w:i w:val="0"/>
        </w:rPr>
        <w:t>Rarefaction was applied repeatedly rather than as a single draw (Cameron et al. 2021). Alpha-diversity indices (observed richness, Shannon, inverse Simpson) were averaged over 1,000 independent rarefactions, and Bray–Curtis and Jaccard dissimilarity matrices over 400. Metrics were averaged rather than count tables: averaging tables would populate each cell with the union of detections across draws and inflate observed richness above what 3,000 reads can support, reintroducing the very depth dependence that rarefaction removes.</w:t>
      </w:r>
    </w:p>
    <w:p>
      <w:pPr/>
      <w:r>
        <w:rPr>
          <w:i w:val="0"/>
        </w:rPr>
        <w:t>Monte-Carlo error was quantified rather than assumed. Because a cumulative mean at N draws and one at 2N share their first N draws and are therefore autocorrelated, convergence was assessed by running two independent chains with disjoint seeds and comparing their means at matched iteration counts, the standard error of a single chain being sd(chain₁ − chain₂)/√2. This error decreased as N^−0.49 (Bray–Curtis) and N^−0.51 (Jaccard), matching the N^−0.5 expected for an average of independent draws. At 100 iterations it stood at 0.04 % of the mean dissimilarity (0.0004 in absolute terms), three orders of magnitude below both the technical (0.118–0.248) and the biological (0.880) dissimilarity scales reported in §8.7, so 100 iterations would have sufficed for the beta-diversity matrices. Median Monte-Carlo standard deviations for the alpha indices were 0.023 for Shannon (0.8 % of the median value), 2.37 for observed richness (1.9 %) and 0.21 for inverse Simpson (2.5 %); the abundance-weighted indices were thus the more stable, consistent with the limited reproducibility of rare ASVs (§8.7).</w:t>
      </w:r>
    </w:p>
    <w:p>
      <w:pPr/>
      <w:r>
        <w:rPr>
          <w:i w:val="0"/>
        </w:rPr>
        <w:t>Note that an averaged dissimilarity matrix is not guaranteed to satisfy the triangle inequality. This does not affect PERMANOVA or principal coordinates analysis, both of which accept semi-metrics, but the averaged matrices were not used in any method requiring a true metric.</w:t>
      </w:r>
    </w:p>
    <w:p>
      <w:pPr/>
      <w:r>
        <w:rPr>
          <w:i w:val="0"/>
        </w:rPr>
      </w:r>
      <w:r>
        <w:rPr>
          <w:b w:val="0"/>
          <w:i w:val="0"/>
          <w:color w:val="1F4E79"/>
        </w:rPr>
        <w:t>Phylogenetic metrics were computed on the same draws as the taxonomic ones. Unweighted UniFrac, weighted normalized UniFrac and Faith's phylogenetic diversity were averaged over 400 rarefactions at 3,000 reads, run as two independent chains of 200 with disjoint seeds so that Monte-Carlo error could be measured rather than assumed: relative standard error ranged from 0.04 % (Shannon) to 0.18 % (inverse Simpson), with between-chain correlations of at least 0.99987 on every metric. Convergence established on Bray-Curtis was not assumed to transfer to UniFrac. As a control that could have failed, the three taxonomic alpha indices were recomputed on these draws and compared with the earlier, independently drawn series: agreement was r &gt; 0.999997 with mean relative deviations of 0.04-0.15 %.</w:t>
      </w:r>
    </w:p>
    <w:p>
      <w:pPr/>
      <w:r>
        <w:rPr>
          <w:i w:val="0"/>
        </w:rPr>
      </w:r>
      <w:r>
        <w:rPr>
          <w:b w:val="0"/>
          <w:i w:val="0"/>
          <w:color w:val="1F4E79"/>
        </w:rPr>
        <w:t>Because the rarefaction threshold both equalises depth and decides which samples enter, the second of these effects was quantified separately. On a fixed set of samples - those retained at 3,000 reads, so that only depth varies - dissimilarity matrices recomputed at 500 to 2,000 reads were compared with the 3,000-read reference. The two abundance-weighted metrics proved essentially invariant down to 500 reads (weighted UniFrac r = 0.9994, Bray-Curtis r = 0.9985), whereas the two presence-based metrics degraded (Jaccard r = 0.9617, unweighted UniFrac r = 0.9373) and observed richness fell by 42 %, confirming that the loss is driven by rare taxa rather than by a general low-depth artefact. Sample retention at 3,000 reads is not random with respect to the variable of interest: in the caudal fin 50 % of intermediate hybrids passed the threshold against 86 % of P. toxostoma (pass 1), and 67 % of all 42 hybrids (pass 2), a gap of 36 and 20 points respectively, reaching 48 and 36 points at one of the three stations carrying the full genotypic gradient. No threshold removes this selection without the corresponding loss of richness. Claims resting on abundance-weighted metrics are therefore accompanied by a sensitivity analysis at 500 reads, where the caudal-fin gap falls to 3.8 points (pass 1) and 5.7 points (pass 2) and 2,067 samples are retained (1,825 in pass 1); claims resting on presence-based metrics are reported at 3,000 reads with the selection declared, since they cannot be tested at 500 and the midgut gap (14.0 and 8.9 points) persists there in any case. Supplementary Table S7 and Figure S2.</w:t>
      </w:r>
      <w:r>
        <w:rPr>
          <w:color w:val="1F4E79"/>
        </w:rPr>
      </w:r>
    </w:p>
    <w:p>
      <w:pPr/>
      <w:r>
        <w:rPr>
          <w:i/>
          <w:color w:val="888888"/>
          <w:sz w:val="18"/>
        </w:rPr>
      </w:r>
      <w:r>
        <w:rPr>
          <w:b w:val="0"/>
          <w:i w:val="0"/>
          <w:color w:val="1F4E79"/>
        </w:rPr>
        <w:t>Statistical framework. Community composition is analysed by PERMANOVA on the averaged dissimilarity matrices, stratified by tissue. Stratification is imposed by the design rather than chosen: 168 of the 180 fish occupy the same plate column across all four tissues, so plate position is not estimable in a pooled model carrying fish identity. Station, not site code, is the spatial unit, since two site codes each span two Suran stations that share no genotypic category. Sequencing run is nested within library preparation (§8.7). Every analysis of genotypic category is run in the two passes defined in §1. Plate column is not entered in the principal models, which report patterns co-varying with station and category without separating them; because its effect on composition is real (§8.8), every model testing category is also fitted with plate column as a covariate and reported as a sensitivity analysis. Because genotypic category, station and plate position are mutually entangled (SS8.9), no single sequential decomposition is reported: each model is fitted in both orderings and the interval between them is given, the ordering that serves category first bounding it from above and the ordering that serves it last from below. Permutations are constrained within station blocks where the question concerns a within-station contrast. Dispersion is tested separately with PERMDISP, since the transgressive hypothesis concerns the variability of hybrid microbiota and not only the position of its centroid, and since PERMANOVA is itself sensitive to heterogeneous dispersion. Every claim is reported per metric and per tissue; the choice of a differential-abundance method remains to be fixed.</w:t>
      </w:r>
    </w:p>
    <w:p>
      <w:pPr>
        <w:pStyle w:val="Heading2"/>
      </w:pPr>
      <w:r>
        <w:rPr>
          <w:i w:val="0"/>
        </w:rPr>
        <w:t>8.7 Technical replication structure</w:t>
      </w:r>
    </w:p>
    <w:p>
      <w:pPr/>
      <w:r>
        <w:t>The nested replication structure was verified directly from the data. Each pair of runs was compared within sample after rarefaction to a common depth, so that detection probability is identical by construction (548 samples reaching 3,000 reads in all three runs). The two runs sharing a library were markedly more similar to each other (mean Bray–Curtis 0.118, Jaccard 0.445) than either was to the run from the independent library (0.248 and 0.719 respectively); the two library-crossing comparisons were statistically indistinguishable from each other (paired Wilcoxon, p = 0.48) and both differed from the within-library comparison (p &lt; 10⁻⁸⁹). Recapture of rare ASVs (1–3 reads) showed the same pattern (0.48 within library vs 0.19 across).</w:t>
      </w:r>
    </w:p>
    <w:p>
      <w:pPr/>
      <w:r>
        <w:t>Library preparation therefore roughly doubles the technical dissimilarity contributed by sequencing alone, with a proportionally larger effect on presence–absence than on relative abundances. Sequencing run was accordingly modelled as nested within library preparation rather than as a three-level factor with interchangeable levels. Because each sample is present in every batch, technical and biological factors are crossed rather than confounded, so batch-correction methods designed for confounded meta-analyses were not applied.</w:t>
      </w:r>
      <w:r>
        <w:t xml:space="preserve"> Index assignment across preparations and the verification of sample-to-file matching are detailed in Supplementary Table S4 and Note S1.</w:t>
      </w:r>
    </w:p>
    <w:p>
      <w:pPr/>
      <w:r>
        <w:rPr>
          <w:i w:val="0"/>
        </w:rPr>
        <w:t>Relative to the biological signal, this technical variation is negligible. In a PERMANOVA on Bray–Curtis distances over the 1,784 samples retained after rarefaction, with the technical terms entered first so that they absorb the maximum variance the sequential decomposition can assign them, library preparation explained 0.03 % of the variance (R² = 0.0003, p = 0.63) and sequencing run within library 0.005 % (p = 1.00), against 9.2 % for tissue and 37.7 % for fish identity (both p = 0.002). Mean Bray–Curtis dissimilarity was 0.13 between two sequencing runs of one library and 0.25 across libraries, against 0.88 between different fish of the same tissue and 0.94 across tissues. Note that library preparation cannot be tested marginally, being perfectly aliased with run label (durance1 is the sole run of the first preparation).</w:t>
      </w:r>
    </w:p>
    <w:p>
      <w:pPr>
        <w:pStyle w:val="Heading2"/>
      </w:pPr>
      <w:r>
        <w:rPr>
          <w:i w:val="0"/>
        </w:rPr>
      </w:r>
      <w:r>
        <w:rPr>
          <w:i w:val="0"/>
        </w:rPr>
        <w:t>8.8 Plate position</w:t>
      </w:r>
    </w:p>
    <w:p>
      <w:pPr/>
      <w:r/>
      <w:r>
        <w:rPr>
          <w:b w:val="0"/>
          <w:i w:val="0"/>
        </w:rPr>
      </w:r>
      <w:r>
        <w:rPr>
          <w:b w:val="0"/>
          <w:i w:val="0"/>
          <w:color w:val="1F4E79"/>
        </w:rPr>
        <w:t>Individuals were numbered in the field in sampling order, which is not random with respect to genotype: the more fragile nases were processed first, except at one station (Saint-Just-d'Ardèche), and plates were loaded in numbering order at five of the nine stations (Spearman ρ between individual number and plate column, 0.87–0.95). Genotypic category and plate column are accordingly strongly associated (Cramér's V = 0.53 in pass 1 and 0.48 in pass 2, computed on individuals). Whether plate position affects composition was therefore tested rather than assumed. Rarefaction equalises depth, so a test on read depth would not have answered the question; PERMANOVA was run on composition, stratified by tissue, with permutations constrained within station blocks so that a detected column effect cannot be a station effect, and with each sequencing run analysed separately, plate position being identical across runs.</w:t>
      </w:r>
    </w:p>
    <w:p>
      <w:pPr/>
      <w:r/>
      <w:r>
        <w:rPr>
          <w:b w:val="0"/>
          <w:i w:val="0"/>
        </w:rPr>
      </w:r>
      <w:r>
        <w:rPr>
          <w:b w:val="0"/>
          <w:i w:val="0"/>
          <w:color w:val="1F4E79"/>
        </w:rPr>
      </w:r>
      <w:r>
        <w:rPr>
          <w:b w:val="0"/>
          <w:i w:val="0"/>
          <w:color w:val="1F4E79"/>
        </w:rPr>
        <w:t>The effect is present in all 24 strata (12 tissue × run strata × 2 metrics) in both passes (p ≤ 0.033 in pass 1, p ≤ 0.007 in pass 2), replicated across the three runs; it does not depend on category labels, and the two passes differ only by the 22 individuals excluded from pass 1. Because the terms differ in degrees of freedom, effect sizes are reported relative to their expectation under the null, R2/(df/(n−1)): plate column reaches 1.84 in pass 1 and 1.95 in pass 2 (median R2 = 0.152 and 0.141, 11 df), the same order as genotypic category fitted after column (1.61 and 1.77; median R2 = 0.026 and 0.024, 2 df; significant in 19 and 18 of 24 strata) and below station (3.32 and 3.69; median R2 = 0.204 and 0.196, 8 df). Supplementary Table S6 and Figure S1.</w:t>
      </w:r>
      <w:r>
        <w:rPr>
          <w:color w:val="1F4E79"/>
        </w:rPr>
      </w:r>
    </w:p>
    <w:p>
      <w:pPr/>
      <w:r/>
      <w:r>
        <w:rPr>
          <w:b w:val="0"/>
          <w:i w:val="0"/>
        </w:rPr>
      </w:r>
      <w:r>
        <w:rPr>
          <w:b w:val="0"/>
          <w:i w:val="0"/>
          <w:color w:val="1F4E79"/>
        </w:rPr>
      </w:r>
      <w:r>
        <w:rPr>
          <w:b w:val="0"/>
          <w:i w:val="0"/>
          <w:color w:val="1F4E79"/>
        </w:rPr>
      </w:r>
      <w:r>
        <w:rPr>
          <w:b w:val="0"/>
          <w:i w:val="0"/>
          <w:color w:val="1F4E79"/>
        </w:rPr>
        <w:t>Three witnesses separate this effect from the biology it could be mistaken for. Within a single genotypic category, where a column effect cannot be a category effect, it persists but more weakly: among P. toxostoma alone in 17 of 24 strata in both passes (ratio 1.65), among C. nasus alone in 6 (pass 1) and 7 (pass 2) of 24 (ratio 1.63); hybrids alone are too few to be tested (two strata in pass 2, none in pass 1). No site code carries a single genotypic category, and the only single-category station (Chavannes-sur-Suran, 19 P. toxostoma) is too small for a separate witness; the within-category subsets therefore replace the single-category-station witness of an earlier analysis, which rested on fish left unresolved by morphology. In the symmetric ordering with category fitted first, column still contributes (21 and 22 of 24 strata). And the classic plate artefacts are absent: plate row is significant in 7 and 6 of 24 strata and plate edge in none, making the effect specific to column, as expected of an effect tracking processing order rather than evaporation or thermal gradients. The origin of the association between category and column is documented above, but the mechanism of the column effect itself is not identified: extraction order, reagent-batch drift within a plate, cross-contamination between adjacent wells and the delay between capture and dissection are not separated by these data, and no negative control isolates any of them. Plate column is therefore not entered in the principal models (§8.6), but every model testing category is also reported with plate column as a covariate, and the two versions are compared in §8.9.</w:t>
      </w:r>
    </w:p>
    <w:p>
      <w:pPr>
        <w:pStyle w:val="Heading2"/>
      </w:pPr>
      <w:r>
        <w:rPr>
          <w:i w:val="0"/>
        </w:rPr>
      </w:r>
      <w:r>
        <w:rPr>
          <w:i w:val="0"/>
        </w:rPr>
      </w:r>
      <w:r>
        <w:rPr>
          <w:i w:val="0"/>
          <w:color w:val="1F4E79"/>
        </w:rPr>
      </w:r>
      <w:r>
        <w:rPr>
          <w:i w:val="0"/>
          <w:color w:val="1F4E79"/>
        </w:rPr>
      </w:r>
      <w:r>
        <w:rPr>
          <w:i w:val="0"/>
          <w:color w:val="1F4E79"/>
        </w:rPr>
      </w:r>
      <w:r>
        <w:rPr>
          <w:i w:val="0"/>
        </w:rPr>
      </w:r>
      <w:r>
        <w:rPr>
          <w:i w:val="0"/>
        </w:rPr>
        <w:t>8.9 Structure of confounding in the genotypic design</w:t>
      </w:r>
    </w:p>
    <w:p>
      <w:pPr/>
      <w:r/>
      <w:r>
        <w:rPr>
          <w:b w:val="0"/>
          <w:i w:val="0"/>
        </w:rPr>
      </w:r>
      <w:r>
        <w:rPr>
          <w:b w:val="0"/>
          <w:i w:val="0"/>
          <w:color w:val="1F4E79"/>
        </w:rPr>
      </w:r>
      <w:r>
        <w:rPr>
          <w:b w:val="0"/>
          <w:i w:val="0"/>
          <w:color w:val="1F4E79"/>
        </w:rPr>
      </w:r>
      <w:r>
        <w:rPr>
          <w:b w:val="0"/>
          <w:i w:val="0"/>
          <w:color w:val="1F4E79"/>
        </w:rPr>
      </w:r>
      <w:r>
        <w:rPr>
          <w:b w:val="0"/>
          <w:i w:val="0"/>
        </w:rPr>
      </w:r>
      <w:r>
        <w:rPr>
          <w:b w:val="0"/>
          <w:i w:val="0"/>
        </w:rPr>
      </w:r>
      <w:r>
        <w:rPr>
          <w:b w:val="0"/>
          <w:i w:val="0"/>
          <w:color w:val="1F4E79"/>
        </w:rPr>
        <w:t>Genotypic category is entangled with both the spatial and the technical axes, and the entanglement is a property of the design rather than a caveat of presentation. Between stations, category is confounded with station: of nine stations, three carry all three categories (74 individuals in pass 2, 65 in pass 1, where Saint-Just-d'Ardèche retains a single hybrid), the others one or two. Within those three stations, category and plate column are in turn strongly associated, because field numbering followed sampling order (§8.8). The sub-design in which category and position are fully separable at constant station comprises 31 individuals in pass 1 and 32 in pass 2, too few to carry a principal test. One station, Rosières, carries category and position independently (Cramér's V = 0.18, p = 0.35, in pass 2) and serves as a small clean witness; in pass 1 it retains a single hybrid and cannot witness a category effect.</w:t>
      </w:r>
    </w:p>
    <w:p>
      <w:pPr/>
      <w:r/>
      <w:r>
        <w:rPr>
          <w:b w:val="0"/>
          <w:i w:val="0"/>
        </w:rPr>
      </w:r>
      <w:r>
        <w:rPr>
          <w:b w:val="0"/>
          <w:i w:val="0"/>
          <w:color w:val="1F4E79"/>
        </w:rPr>
      </w:r>
      <w:r>
        <w:rPr>
          <w:b w:val="0"/>
          <w:i w:val="0"/>
          <w:color w:val="1F4E79"/>
        </w:rPr>
      </w:r>
      <w:r>
        <w:rPr>
          <w:b w:val="0"/>
          <w:i w:val="0"/>
          <w:color w:val="1F4E79"/>
        </w:rPr>
      </w:r>
      <w:r>
        <w:rPr>
          <w:b w:val="0"/>
          <w:i w:val="0"/>
        </w:rPr>
      </w:r>
      <w:r>
        <w:rPr>
          <w:b w:val="0"/>
          <w:i w:val="0"/>
        </w:rPr>
      </w:r>
      <w:r>
        <w:rPr>
          <w:b w:val="0"/>
          <w:i w:val="0"/>
          <w:color w:val="1F4E79"/>
        </w:rPr>
      </w:r>
      <w:r>
        <w:rPr>
          <w:b w:val="0"/>
          <w:i w:val="0"/>
          <w:color w:val="1F4E79"/>
        </w:rPr>
      </w:r>
      <w:r>
        <w:rPr>
          <w:color w:val="1F4E79"/>
        </w:rPr>
      </w:r>
      <w:r>
        <w:t>A preliminary variance partition was run to size these terms before the ecological analysis, not as a result of it, in both passes and on the four metrics. Fitted in both orderings without plate position, genotypic category accounts for a median of 1.7 % to 2.8 % of compositional variance across the 48 metric × tissue × run strata in pass 1 and 1.4 % to 3.0 % in pass 2, against a median of 19 % and 18 % for station (range across strata 14–36 % in pass 1 and 14–35 % in pass 2). No tissue is detected by all four metrics in all three runs under both permutation schemes, in either pass, with or without plate position, so a global statement that hybrids differ is not supportable: the analysis must say which metric supports which claim, in which tissue, and under which definition of a hybrid. One result is robust to every choice made here — both passes, with and without plate position, all three runs and both permutation schemes: the midgut on Jaccard (p ≤ 0.044). The caudal fin on weighted UniFrac is detected in all three runs and both schemes in pass 1 (p = 0.007–0.024), with or without plate position, and in no run in pass 2 (p = 0.073–0.235). A witness attributes this displacement to the definition of hybrids rather than to sample size: removing 22 randomly chosen individuals from the 158 that are not introgressed, twenty times, never restored the caudal signal in pass 2. At 500 reads the caudal signal is partial in pass 1 (three runs sequentially, p = 0.022–0.049; one of three with station fixed by blocks) and absent in pass 2, so it is not fully confirmed once the sample set retained at 3,000 reads is enlarged. The hindgut is the weakest tissue in pass 1 (only Jaccard is significant, in one run of three with station fixed by blocks) but not in pass 2, where with station fixed by blocks all four metrics detect it in all three runs; the witness does not resolve whether this difference reflects sample size or the definition of hybrids. The principal and sensitivity models differ in 7 of the 16 metric × tissue cells in each pass, of which 5 (pass 1) and 3 (pass 2) move between robust detection (three runs, both schemes), partial detection and none. Of the two witnesses that could have discriminated further, the separable sub-design detects category in 3 of 48 tests in pass 1 and 1 of 48 in pass 2 (with plate position), and Rosières, in pass 2, detects it in the gill on Jaccard and unweighted UniFrac in all three runs (p = 0.010–0.030); in pass 1 Rosières is not interpretable. Supplementary Table S8.</w:t>
      </w:r>
    </w:p>
    <w:p>
      <w:pPr/>
      <w:r/>
      <w:r>
        <w:rPr>
          <w:b w:val="0"/>
          <w:i w:val="0"/>
        </w:rPr>
      </w:r>
      <w:r>
        <w:rPr>
          <w:b w:val="0"/>
          <w:i w:val="0"/>
          <w:color w:val="1F4E79"/>
        </w:rPr>
      </w:r>
      <w:r>
        <w:rPr>
          <w:b w:val="0"/>
          <w:i w:val="0"/>
          <w:color w:val="1F4E79"/>
        </w:rPr>
      </w:r>
      <w:r>
        <w:rPr>
          <w:b w:val="0"/>
          <w:i w:val="0"/>
          <w:color w:val="1F4E79"/>
        </w:rPr>
      </w:r>
      <w:r>
        <w:rPr>
          <w:b w:val="0"/>
          <w:i w:val="0"/>
        </w:rPr>
      </w:r>
      <w:r>
        <w:rPr>
          <w:b w:val="0"/>
          <w:i w:val="0"/>
        </w:rPr>
      </w:r>
      <w:r>
        <w:rPr>
          <w:b w:val="0"/>
          <w:i w:val="0"/>
          <w:color w:val="1F4E79"/>
        </w:rPr>
      </w:r>
      <w:r>
        <w:rPr>
          <w:b w:val="0"/>
          <w:i w:val="0"/>
          <w:color w:val="1F4E79"/>
        </w:rPr>
      </w:r>
      <w:r>
        <w:rPr>
          <w:color w:val="1F4E79"/>
        </w:rPr>
      </w:r>
      <w:r/>
      <w:r>
        <w:rPr>
          <w:b w:val="0"/>
          <w:i w:val="0"/>
          <w:color w:val="1F4E79"/>
        </w:rPr>
      </w:r>
      <w:r>
        <w:t>Dispersion was tested with PERMDISP on the same matrices, both with permutations constrained within station blocks and separately within each station carrying all three categories, where a dispersion difference cannot be spatial. The transgressive prediction in its dispersion form — hybrids more variable than both parental categories — is not supported and the data point the other way. Across the 48 station-blocked tests, hybrids are the least dispersed of the three categories in 32 (pass 1) and 34 (pass 2) and the most dispersed in 7 and 8, against the third expected by chance under no ordering (binomial p = 2.4 × 10-6 and 1.2 × 10-7). Within stations the pattern holds in pass 1 (45 of 68, p = 3.2 × 10-8); in pass 2 it is not significant over all 120 tests (41, p = 0.46), because the strata of Saint-Just-d'Ardèche, testable only in pass 2, and those of the Canal point the other way, but it holds on the 68 tests common to both passes (31 of 68, p = 0.024). Significant tests in the transgressive direction number 1 (pass 1) and 0 (pass 2) among station-blocked tests, and 0 and 5 within stations; the five of pass 2 all concern the gill at Saint-Just-d'Ardèche, where each stratum holds three or four P. toxostoma. Where dispersion does differ significantly it is mostly a parental category that is most variable: P. toxostoma in the caudal fin in pass 1; P. toxostoma or C. nasus in the midgut, and P. toxostoma in the hindgut and caudal fin, in pass 2. The effect is small: the median hybrid distance to group centre lies below the parental mean on Bray-Curtis (-0.029 and -0.065), unweighted UniFrac (-0.026 and -0.016) and Jaccard (-0.015 and -0.009); on weighted UniFrac it is null in pass 1 (+0.0002) and slightly below in pass 2 (-0.005). The less-dispersed pattern is therefore carried by the three metrics sensitive to rare taxa.</w:t>
      </w:r>
    </w:p>
    <w:p>
      <w:pPr/>
      <w:r/>
      <w:r>
        <w:rPr>
          <w:b w:val="0"/>
          <w:i w:val="0"/>
        </w:rPr>
      </w:r>
      <w:r>
        <w:rPr>
          <w:b w:val="0"/>
          <w:i w:val="0"/>
          <w:color w:val="1F4E79"/>
        </w:rPr>
      </w:r>
      <w:r>
        <w:rPr>
          <w:b w:val="0"/>
          <w:i w:val="0"/>
          <w:color w:val="1F4E79"/>
        </w:rPr>
      </w:r>
      <w:r>
        <w:rPr>
          <w:b w:val="0"/>
          <w:i w:val="0"/>
          <w:color w:val="1F4E79"/>
        </w:rPr>
      </w:r>
      <w:r>
        <w:rPr>
          <w:b w:val="0"/>
          <w:i w:val="0"/>
        </w:rPr>
      </w:r>
      <w:r>
        <w:rPr>
          <w:b w:val="0"/>
          <w:i w:val="0"/>
        </w:rPr>
      </w:r>
      <w:r>
        <w:rPr>
          <w:b w:val="0"/>
          <w:i w:val="0"/>
          <w:color w:val="1F4E79"/>
        </w:rPr>
      </w:r>
      <w:r>
        <w:rPr>
          <w:b w:val="0"/>
          <w:i w:val="0"/>
          <w:color w:val="1F4E79"/>
        </w:rPr>
      </w:r>
      <w:r>
        <w:rPr>
          <w:color w:val="1F4E79"/>
        </w:rPr>
      </w:r>
      <w:r/>
      <w:r>
        <w:rPr>
          <w:b w:val="0"/>
          <w:i w:val="0"/>
          <w:color w:val="1F4E79"/>
        </w:rPr>
        <w:t>This bears directly on how the location results must be read, because PERMANOVA is sensitive to heterogeneous dispersion. In the caudal fin, dispersion is heterogeneous on Jaccard in all three runs in both passes, and on Bray-Curtis and unweighted UniFrac in all three runs in pass 1, so the location signals on those metrics cannot be separated from a dispersion effect. On weighted UniFrac dispersion is homogeneous in all three runs in both passes, and remains so within station. In pass 1, where the caudal-fin category effect on weighted UniFrac is significant in all three runs and both permutation schemes, that control could have failed and did not: the result is a difference in composition, not in variability. In pass 2 there is no location effect to interpret. One reservation is not resolved here: betadisper accepts no covariate, so the plate-position effect of section 8.8 is not adjusted for, and a category whose samples are more spread across plate columns could carry inflated dispersion. Supplementary Table S9 and Figure S3.</w:t>
      </w:r>
    </w:p>
    <w:p>
      <w:pPr>
        <w:pStyle w:val="Heading1"/>
      </w:pPr>
      <w:r>
        <w:t>9. Reproducibility and data availability</w:t>
      </w:r>
    </w:p>
    <w:p>
      <w:r>
        <w:rPr>
          <w:b w:val="0"/>
          <w:i w:val="0"/>
        </w:rPr>
        <w:t>All processing steps are scripted, version-controlled with git and logged (runs.log), with parameter choices justified in the script headers; metadata corrections are traced by explicit flags rather than applied silently.</w:t>
      </w:r>
    </w:p>
    <w:p>
      <w:r>
        <w:rPr>
          <w:i w:val="0"/>
        </w:rPr>
        <w:t>Raw sequence data have been deposited in the European Nucleotide Archive (ENA) at EMBL-EBI under accession number PRJEB124417. The submission comprises 768 samples and 2,304 sequencing runs (4,608 FASTQ files, 11.7 GB). Each sample was processed through two independent one-step dual-index PCR library preparations: the first library was sequenced once (run label durance1) and the second was sequenced twice on separate flow cells (durance2, durance3). Runs are named accordingly, so that the nested replication structure described in §8.7 — sequencing replication nested within library preparation — can be recovered directly from the run titles. Sample metadata follow the GSC MIxS host-associated checklist (ERC000013) and report collection year, sampling-site coordinates, host species and sampled tissue. Extraction blanks, no-template PCR controls and mock community aliquots are included in the submission and are identified as such in the sample titles; the 25 empty wells used to quantify index hopping (§8.2) are likewise deposited. Per-run accessions, file names and MD5 checksums for all 4,608 files are given in Supplementary Table S3.</w:t>
      </w:r>
    </w:p>
    <w:p>
      <w:r>
        <w:rPr>
          <w:i w:val="0"/>
        </w:rPr>
      </w:r>
      <w:r>
        <w:rPr>
          <w:b w:val="0"/>
          <w:i w:val="0"/>
          <w:color w:val="1F4E79"/>
        </w:rPr>
        <w:t>ENA metadata were corrected on 2026-08-31 (field-record coordinates, exact collection dates and genotype-resolved host identities); PRJEB124417 is up to date. The correction covered 3,472 fields across the 727 biological samples and was verified field by field; the 41 controls, the sample accessions, the aliases and the sequence files were unchanged.</w:t>
      </w:r>
    </w:p>
    <w:p>
      <w:pPr/>
      <w:r>
        <w:rPr>
          <w:i w:val="0"/>
        </w:rPr>
        <w:t>Metadata completeness. Sampling-site coordinates and environmental context terms were obtained from the field records and are reported per site in Supplementary Table S1. Collection dates are given at year resolution, the precision at which sampling was recorded for this dataset; ENA accepts year-only collection dates.</w:t>
      </w:r>
    </w:p>
    <w:p>
      <w:pPr/>
      <w:r>
        <w:rPr>
          <w:i/>
          <w:color w:val="888888"/>
          <w:sz w:val="18"/>
        </w:rPr>
        <w:t>[À COMPLÉTER : lien vers le dépôt de code (git) et, le cas échéant, DOI Zenodo de la version utilisée pour l'article.]</w:t>
      </w:r>
    </w:p>
    <w:p>
      <w:pPr>
        <w:pStyle w:val="Heading1"/>
      </w:pPr>
      <w:r>
        <w:t>Funding</w:t>
      </w:r>
    </w:p>
    <w:p>
      <w:pPr/>
      <w:r>
        <w:t>This work was funded by Électricité de France (EDF) through the FACIES project, with the support of the Fédération de l'Ain; the 2014–2015 sampling reported here was carried out under that same contract.</w:t>
      </w:r>
    </w:p>
    <w:p>
      <w:pPr/>
      <w:r>
        <w:rPr>
          <w:i/>
          <w:color w:val="888888"/>
          <w:sz w:val="18"/>
        </w:rPr>
        <w:t>[Financement confirmé par André le 2026-09-30 : « c'est le même contrat qui a servi à cette étude ». À compléter avant soumission : la référence exacte du contrat EDF et le nom légal complet de la Fédération, à reprendre des remerciements de Guivier et al. (2017), que je n'ai pas relus ; et la section Acknowledgements proprement dite (appui de terrain), à rédiger avec les co-auteurs.]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