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is the weakest: no metric detects it in all three runs under either permutation scheme, and only Jaccard reaches significance at all, in 2 of three runs sequentially and 1 of three with station fixed by blocks (p = 0.036, 0.041, 0.063 and 0.042, 0.052, 0.123 respectively); the three other metrics detect nothing in any run.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 Supplementary Table S8.</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of the three stations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31 and the most dispersed in 9, against the third expected by chance under no ordering (binomial p = 9.4 x 10-6); the pattern holds within stations (52 of 108, p = 1.0 x 10-3). Only one test is both significant and in the transgressive direction, and none within station. Where dispersion does differ significantly it is P. toxostoma that is most variable, in the caudal fin and hindgut. The effect is small and not uniform across metrics: the median hybrid distance to group centre lies 0.036 (Bray-Curtis), 0.022 (unweighted UniFrac) and 0.010 (Jaccard) BELOW the parental mean, but +0.002 on weighted UniFrac, i.e. marginally above it. The less-dispersed pattern is therefore carried by the three metrics sensitive to rare taxa, and is absent from the abundance-weighted one.</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Bray-Curtis, Jaccard and unweighted UniFrac in all three runs, so the location signals on those metrics cannot be separated from a dispersion effect. On weighted UniFrac - the one metric where the caudal-fin category effect is significant in all three runs and both permutation schemes - dispersion is homogeneous in all three runs, and it remains so within station. That control could have failed and did not: the caudal-fin result on weighted UniFrac is a difference in composition, not in variability.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