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microbiome-hybrid — Note projet (post-réunion André)</w:t>
      </w:r>
    </w:p>
    <w:p>
      <w:r>
        <w:rPr>
          <w:b w:val="0"/>
          <w:i/>
        </w:rPr>
        <w:t>Mise à jour 2026-07-27 après réunion. État vérifié sur le cluster.</w:t>
      </w:r>
    </w:p>
    <w:p>
      <w:pPr>
        <w:pStyle w:val="Heading1"/>
      </w:pPr>
      <w:r>
        <w:t>1. Le projet en bref</w:t>
      </w:r>
    </w:p>
    <w:p>
      <w:r>
        <w:rPr>
          <w:b w:val="0"/>
          <w:i w:val="0"/>
        </w:rPr>
        <w:t>Question : le microbiote (16S V4 ; nageoire, midgut, hindgut, branchie) des HYBRIDES entre le hotu Chondrostoma nasus (Cn) et le toxostome Parachondrostoma toxostoma (Pt) est-il INTERMÉDIAIRE entre les parentaux, ou TRANSGRESSIF ? Individus non déterminés = code Ch.</w:t>
      </w:r>
    </w:p>
    <w:p>
      <w:pPr>
        <w:pStyle w:val="Heading1"/>
      </w:pPr>
      <w:r>
        <w:t>2. Design</w:t>
      </w:r>
    </w:p>
    <w:p>
      <w:pPr>
        <w:pStyle w:val="ListBullet"/>
      </w:pPr>
      <w:r>
        <w:t>4 tissus par poisson : nageoire caudale, midgut, hindgut, branchie.</w:t>
      </w:r>
    </w:p>
    <w:p>
      <w:pPr>
        <w:pStyle w:val="ListBullet"/>
      </w:pPr>
      <w:r>
        <w:t>3 runs MiSeq = re-séquençage des mêmes librairies (triplicats techniques).</w:t>
      </w:r>
    </w:p>
    <w:p>
      <w:pPr>
        <w:pStyle w:val="ListBullet"/>
      </w:pPr>
      <w:r>
        <w:t>181 poissons biologiques (183 échantillons « poisson » séquencés − 2 mocks mal étiquetés, cf. §4).</w:t>
      </w:r>
    </w:p>
    <w:p>
      <w:pPr>
        <w:pStyle w:val="Heading1"/>
      </w:pPr>
      <w:r>
        <w:t>3. La « liste des 6 » — populations par rôle</w:t>
      </w:r>
    </w:p>
    <w:p>
      <w:r>
        <w:rPr>
          <w:b w:val="0"/>
          <w:i w:val="0"/>
        </w:rPr>
        <w:t>Gradient : allopatrie (référence) → sympatrie + hybridation → introgression asymétrique.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Rôle</w:t>
            </w:r>
          </w:p>
        </w:tc>
        <w:tc>
          <w:tcPr>
            <w:tcW w:type="dxa" w:w="1440"/>
          </w:tcPr>
          <w:p>
            <w:r>
              <w:t>Site</w:t>
            </w:r>
          </w:p>
        </w:tc>
        <w:tc>
          <w:tcPr>
            <w:tcW w:type="dxa" w:w="1440"/>
          </w:tcPr>
          <w:p>
            <w:r>
              <w:t>Rivière</w:t>
            </w:r>
          </w:p>
        </w:tc>
        <w:tc>
          <w:tcPr>
            <w:tcW w:type="dxa" w:w="1440"/>
          </w:tcPr>
          <w:p>
            <w:r>
              <w:t>Code(s)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Taxons</w:t>
            </w:r>
          </w:p>
        </w:tc>
      </w:tr>
      <w:tr>
        <w:tc>
          <w:tcPr>
            <w:tcW w:type="dxa" w:w="1440"/>
          </w:tcPr>
          <w:p>
            <w:r>
              <w:t>Allopatrie</w:t>
            </w:r>
          </w:p>
        </w:tc>
        <w:tc>
          <w:tcPr>
            <w:tcW w:type="dxa" w:w="1440"/>
          </w:tcPr>
          <w:p>
            <w:r>
              <w:t>canal</w:t>
            </w:r>
          </w:p>
        </w:tc>
        <w:tc>
          <w:tcPr>
            <w:tcW w:type="dxa" w:w="1440"/>
          </w:tcPr>
          <w:p>
            <w:r>
              <w:t>Durance</w:t>
            </w:r>
          </w:p>
        </w:tc>
        <w:tc>
          <w:tcPr>
            <w:tcW w:type="dxa" w:w="1440"/>
          </w:tcPr>
          <w:p>
            <w:r>
              <w:t>Caa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 20</w:t>
            </w:r>
          </w:p>
        </w:tc>
      </w:tr>
      <w:tr>
        <w:tc>
          <w:tcPr>
            <w:tcW w:type="dxa" w:w="1440"/>
          </w:tcPr>
          <w:p>
            <w:r>
              <w:t>Allopatrie</w:t>
            </w:r>
          </w:p>
        </w:tc>
        <w:tc>
          <w:tcPr>
            <w:tcW w:type="dxa" w:w="1440"/>
          </w:tcPr>
          <w:p>
            <w:r>
              <w:t>Ain</w:t>
            </w:r>
          </w:p>
        </w:tc>
        <w:tc>
          <w:tcPr>
            <w:tcW w:type="dxa" w:w="1440"/>
          </w:tcPr>
          <w:p>
            <w:r>
              <w:t>Ain</w:t>
            </w:r>
          </w:p>
        </w:tc>
        <w:tc>
          <w:tcPr>
            <w:tcW w:type="dxa" w:w="1440"/>
          </w:tcPr>
          <w:p>
            <w:r>
              <w:t>Ain+Cab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Cn 4, Pt 10 (2014) · Ch 19 (2015)</w:t>
            </w:r>
          </w:p>
        </w:tc>
      </w:tr>
      <w:tr>
        <w:tc>
          <w:tcPr>
            <w:tcW w:type="dxa" w:w="1440"/>
          </w:tcPr>
          <w:p>
            <w:r>
              <w:t>Sympatrie + hybridation</w:t>
            </w:r>
          </w:p>
        </w:tc>
        <w:tc>
          <w:tcPr>
            <w:tcW w:type="dxa" w:w="1440"/>
          </w:tcPr>
          <w:p>
            <w:r>
              <w:t>Büech</w:t>
            </w:r>
          </w:p>
        </w:tc>
        <w:tc>
          <w:tcPr>
            <w:tcW w:type="dxa" w:w="1440"/>
          </w:tcPr>
          <w:p>
            <w:r>
              <w:t>Durance</w:t>
            </w:r>
          </w:p>
        </w:tc>
        <w:tc>
          <w:tcPr>
            <w:tcW w:type="dxa" w:w="1440"/>
          </w:tcPr>
          <w:p>
            <w:r>
              <w:t>Bue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Cn 8, Ch 9 (2014) · Ch 18 (2015)</w:t>
            </w:r>
          </w:p>
        </w:tc>
      </w:tr>
      <w:tr>
        <w:tc>
          <w:tcPr>
            <w:tcW w:type="dxa" w:w="1440"/>
          </w:tcPr>
          <w:p>
            <w:r>
              <w:t>Sympatrie + hybridation</w:t>
            </w:r>
          </w:p>
        </w:tc>
        <w:tc>
          <w:tcPr>
            <w:tcW w:type="dxa" w:w="1440"/>
          </w:tcPr>
          <w:p>
            <w:r>
              <w:t>St-Just</w:t>
            </w:r>
          </w:p>
        </w:tc>
        <w:tc>
          <w:tcPr>
            <w:tcW w:type="dxa" w:w="1440"/>
          </w:tcPr>
          <w:p>
            <w:r>
              <w:t>Ardèche</w:t>
            </w:r>
          </w:p>
        </w:tc>
        <w:tc>
          <w:tcPr>
            <w:tcW w:type="dxa" w:w="1440"/>
          </w:tcPr>
          <w:p>
            <w:r>
              <w:t>Jus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 19</w:t>
            </w:r>
          </w:p>
        </w:tc>
      </w:tr>
      <w:tr>
        <w:tc>
          <w:tcPr>
            <w:tcW w:type="dxa" w:w="1440"/>
          </w:tcPr>
          <w:p>
            <w:r>
              <w:t>Introgression asym. → Toxo</w:t>
            </w:r>
          </w:p>
        </w:tc>
        <w:tc>
          <w:tcPr>
            <w:tcW w:type="dxa" w:w="1440"/>
          </w:tcPr>
          <w:p>
            <w:r>
              <w:t>Baume</w:t>
            </w:r>
          </w:p>
        </w:tc>
        <w:tc>
          <w:tcPr>
            <w:tcW w:type="dxa" w:w="1440"/>
          </w:tcPr>
          <w:p>
            <w:r>
              <w:t>Ardèche</w:t>
            </w:r>
          </w:p>
        </w:tc>
        <w:tc>
          <w:tcPr>
            <w:tcW w:type="dxa" w:w="1440"/>
          </w:tcPr>
          <w:p>
            <w:r>
              <w:t>Bau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Ch 25</w:t>
            </w:r>
          </w:p>
        </w:tc>
      </w:tr>
      <w:tr>
        <w:tc>
          <w:tcPr>
            <w:tcW w:type="dxa" w:w="1440"/>
          </w:tcPr>
          <w:p>
            <w:r>
              <w:t>Introgression asym. → Hotu</w:t>
            </w:r>
          </w:p>
        </w:tc>
        <w:tc>
          <w:tcPr>
            <w:tcW w:type="dxa" w:w="1440"/>
          </w:tcPr>
          <w:p>
            <w:r>
              <w:t>Avignon</w:t>
            </w:r>
          </w:p>
        </w:tc>
        <w:tc>
          <w:tcPr>
            <w:tcW w:type="dxa" w:w="1440"/>
          </w:tcPr>
          <w:p>
            <w:r>
              <w:t>Durance</w:t>
            </w:r>
          </w:p>
        </w:tc>
        <w:tc>
          <w:tcPr>
            <w:tcW w:type="dxa" w:w="1440"/>
          </w:tcPr>
          <w:p>
            <w:r>
              <w:t>Avi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Cn 22, Pt 2</w:t>
            </w:r>
          </w:p>
        </w:tc>
      </w:tr>
    </w:tbl>
    <w:p>
      <w:r>
        <w:rPr>
          <w:b w:val="0"/>
          <w:i/>
        </w:rPr>
        <w:t>Ain = deux codes : Ain (2014, 14) + Cab (2015, 19 après exclusion des 2 mocks) = 33.</w:t>
      </w:r>
    </w:p>
    <w:p>
      <w:pPr>
        <w:pStyle w:val="Heading1"/>
      </w:pPr>
      <w:r>
        <w:t>4. RÉSOLU en réunion (2026-07-27)</w:t>
      </w:r>
    </w:p>
    <w:p>
      <w:pPr>
        <w:pStyle w:val="ListBullet"/>
      </w:pPr>
      <w:r>
        <w:t>Cab1021 et Cab1022 = MOCKS confirmés (mal étiquetés, plaque 1, index série 711). Étiquetés et interprétés comme mocks. Ain 2015 : 21 → 19 poissons ; total 183 → 181.</w:t>
      </w:r>
    </w:p>
    <w:p>
      <w:pPr>
        <w:pStyle w:val="ListBullet"/>
      </w:pPr>
      <w:r>
        <w:t>Büech = 35 poissons, définitif. Le « 53 » évoqué avant était une lecture erronée — retiré partout.</w:t>
      </w:r>
    </w:p>
    <w:p>
      <w:pPr>
        <w:pStyle w:val="ListBullet"/>
      </w:pPr>
      <w:r>
        <w:t>Contamination de puits (9 individus : Bue1005/1001/1004/1011, Ain1043, Caa1018, Per2011, Avi1001, + branchie de Man1022) : confirmée. Stratégie = retirer les ASV mock contaminants, garder les ASV légitimes du poisson (puis re-seuillage à 3 000).</w:t>
      </w:r>
    </w:p>
    <w:p>
      <w:pPr>
        <w:pStyle w:val="Heading1"/>
      </w:pPr>
      <w:r>
        <w:t>5. EN ATTENTE — génotypage / index hybride (André)</w:t>
      </w:r>
    </w:p>
    <w:p>
      <w:r>
        <w:rPr>
          <w:b/>
          <w:i w:val="0"/>
        </w:rPr>
        <w:t>Le génotypage des poissons n'est pas terminé. Il produira un INDEX HYBRIDE par individu, qui pilotera :</w:t>
      </w:r>
    </w:p>
    <w:p>
      <w:pPr>
        <w:pStyle w:val="ListBullet"/>
      </w:pPr>
      <w:r>
        <w:t>la résolution des Ch en hotu / toxostome / hybride (question scientifique centrale) ;</w:t>
      </w:r>
    </w:p>
    <w:p>
      <w:pPr>
        <w:pStyle w:val="ListBullet"/>
      </w:pPr>
      <w:r>
        <w:t>le choix des populations conservées dans l'analyse finale — notamment le sort de Manosque (Man, 15 poissons, hors liste des 6) et de Per (10 poissons, nom+rôle inconnus).</w:t>
      </w:r>
    </w:p>
    <w:p>
      <w:pPr>
        <w:pStyle w:val="Heading1"/>
      </w:pPr>
      <w:r>
        <w:t>6. Déjà fait et figé (n'attend pas André)</w:t>
      </w:r>
    </w:p>
    <w:p>
      <w:r>
        <w:rPr>
          <w:b w:val="0"/>
          <w:i w:val="0"/>
        </w:rPr>
        <w:t>Validation mock (8/8) · décontamination (decontam 0,1) · arbre phylogénétique (MAFFT+FastTree2, 44 256 ASV) · QC profondeur · seuil de raréfaction = 3 000 lectures · crosstalk négligeable (0,0002 %) · stratégie mocks (exclusion des 2 Cab + retrait ASV sur puits contaminés). Tout documenté dans docs/.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