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Host identity. Following microsatellite genotyping,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r>
        <w:rPr>
          <w:i/>
          <w:color w:val="888888"/>
          <w:sz w:val="18"/>
        </w:rPr>
        <w:t>[À CORRIGER DANS LE DÉPÔT : l'ENA porte encore l'attribution à 12 chromosomes du 2026-08-31 (369 / 236 / 122) ; 63 échantillons (16 individus) changent d'identité d'hôte — 51 Pt → Hy, 4 Cn → Hy, 4 Hy → Pt, 4 Hy → Cn. Tant que le MODIFY n'est pas fait, ce paragraphe décrit le génotypage et non le dépôt.]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S6.</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sz w:val="16"/>
        </w:rPr>
        <w:t>Figure S3. Dispersion by genotypic category (PERMDISP). (a, b) Distance to group centre,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S9.</w:t>
      </w:r>
    </w:p>
    <w:p>
      <w:pPr>
        <w:pStyle w:val="Heading1"/>
      </w:pPr>
      <w:r>
        <w:rPr>
          <w:i/>
          <w:sz w:val="16"/>
        </w:rPr>
      </w:r>
      <w:r>
        <w:rPr>
          <w:b w:val="0"/>
          <w:i w:val="0"/>
        </w:rPr>
      </w:r>
      <w:r>
        <w:t>Note S2. Host subject identifiers are reused between years</w:t>
      </w:r>
    </w:p>
    <w:p>
      <w:pPr>
        <w:pStyle w:val="Heading1"/>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pStyle w:val="Heading1"/>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S4).</w:t>
      </w:r>
    </w:p>
    <w:p>
      <w:pPr>
        <w:pStyle w:val="Heading1"/>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