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is the weakest: no metric detects it in all three runs under either permutation scheme, and only Jaccard reaches significance at all, in 2 of three runs sequentially and 1 of three with station fixed by blocks (p = 0.036, 0.041, 0.063 and 0.042, 0.052, 0.123 respectively); the three other metrics detect nothing in any run.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 Supplementary Table S8.</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Dispersion was tested with PERMDISP on the same matrices, both with permutations constrained within station blocks and separately within each of the three stations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31 and the most dispersed in 9, against the third expected by chance under no ordering (binomial p = 9.4 x 10-6); the pattern holds within stations (52 of 108, p = 1.0 x 10-3). Only one test is both significant and in the transgressive direction, and none within station. Where dispersion does differ significantly it is P. toxostoma that is most variable, in the caudal fin and hindgut. The effect is small: the median hybrid distance to group centre lies 0.036 (Bray-Curtis) to 0.002 (weighted UniFrac) below the parental mean.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Bray-Curtis, Jaccard and unweighted UniFrac in all three runs, so the location signals on those metrics cannot be separated from a dispersion effect. On weighted UniFrac - the one metric where the caudal-fin category effect is significant in all three runs and both permutation schemes - dispersion is homogeneous in all three runs, and it remains so within station. That control could have failed and did not: the caudal-fin result on weighted UniFrac is a difference in composition, not in variability.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