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not a threshold on the median hybrid index.</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r>
              <w:rPr>
                <w:b/>
                <w:sz w:val="16"/>
              </w:rPr>
              <w:t>Cn / Hy / Pt</w:t>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r>
              <w:rPr>
                <w:sz w:val="16"/>
              </w:rPr>
              <w:t>20 / 4 / 0</w:t>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r>
              <w:rPr>
                <w:sz w:val="16"/>
              </w:rPr>
              <w:t>8 / 4 / 8</w:t>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r>
              <w:rPr>
                <w:sz w:val="16"/>
              </w:rPr>
              <w:t>0 / 0 / 19</w:t>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r>
              <w:rPr>
                <w:sz w:val="16"/>
              </w:rPr>
              <w:t>11 / 10 / 14</w:t>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r>
              <w:rPr>
                <w:sz w:val="16"/>
              </w:rPr>
              <w:t>0 / 2 / 13</w:t>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r>
              <w:rPr>
                <w:sz w:val="16"/>
              </w:rPr>
              <w:t>0 / 1 / 8</w:t>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r>
              <w:rPr>
                <w:sz w:val="16"/>
              </w:rPr>
              <w:t>12 / 2 / 0</w:t>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r>
              <w:rPr>
                <w:sz w:val="16"/>
              </w:rPr>
              <w:t>0 / 4 / 21</w:t>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r>
              <w:rPr>
                <w:sz w:val="16"/>
              </w:rPr>
              <w:t>8 / 3 / 8</w:t>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r>
              <w:rPr>
                <w:b/>
                <w:sz w:val="16"/>
              </w:rPr>
              <w:t>59 / 30 / 91</w:t>
            </w:r>
          </w:p>
        </w:tc>
        <w:tc>
          <w:tcPr>
            <w:tcW w:type="dxa" w:w="864"/>
          </w:tcPr>
          <w:p>
            <w:r/>
            <w:r>
              <w:rPr>
                <w:b/>
                <w:sz w:val="16"/>
              </w:rPr>
              <w:t>727</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w:t>
            </w:r>
          </w:p>
        </w:tc>
        <w:tc>
          <w:tcPr>
            <w:tcW w:type="dxa" w:w="1234"/>
          </w:tcPr>
          <w:p>
            <w:r/>
            <w:r>
              <w:rPr>
                <w:b/>
                <w:sz w:val="16"/>
              </w:rPr>
              <w:t>R²/(df/(n−1))</w:t>
            </w:r>
          </w:p>
        </w:tc>
        <w:tc>
          <w:tcPr>
            <w:tcW w:type="dxa" w:w="1234"/>
          </w:tcPr>
          <w:p>
            <w:r/>
            <w:r>
              <w:rPr>
                <w:b/>
                <w:sz w:val="16"/>
              </w:rPr>
              <w:t>Strata with p&lt;0.05</w:t>
            </w:r>
          </w:p>
        </w:tc>
        <w:tc>
          <w:tcPr>
            <w:tcW w:type="dxa" w:w="1234"/>
          </w:tcPr>
          <w:p>
            <w:r/>
            <w:r>
              <w:rPr>
                <w:b/>
                <w:sz w:val="16"/>
              </w:rPr>
              <w:t>Max p</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0.141</w:t>
            </w:r>
          </w:p>
        </w:tc>
        <w:tc>
          <w:tcPr>
            <w:tcW w:type="dxa" w:w="1234"/>
          </w:tcPr>
          <w:p>
            <w:r/>
            <w:r>
              <w:rPr>
                <w:sz w:val="16"/>
              </w:rPr>
              <w:t>1.95</w:t>
            </w:r>
          </w:p>
        </w:tc>
        <w:tc>
          <w:tcPr>
            <w:tcW w:type="dxa" w:w="1234"/>
          </w:tcPr>
          <w:p>
            <w:r/>
            <w:r>
              <w:rPr>
                <w:sz w:val="16"/>
              </w:rPr>
              <w:t>24/24</w:t>
            </w:r>
          </w:p>
        </w:tc>
        <w:tc>
          <w:tcPr>
            <w:tcW w:type="dxa" w:w="1234"/>
          </w:tcPr>
          <w:p>
            <w:r/>
            <w:r>
              <w:rPr>
                <w:sz w:val="16"/>
              </w:rPr>
              <w:t>≤ 0.007</w:t>
            </w:r>
          </w:p>
        </w:tc>
      </w:tr>
      <w:tr>
        <w:tc>
          <w:tcPr>
            <w:tcW w:type="dxa" w:w="1234"/>
          </w:tcPr>
          <w:p>
            <w:r/>
            <w:r>
              <w:rPr>
                <w:sz w:val="16"/>
              </w:rPr>
              <w:t>Genotypic category, after column</w:t>
            </w:r>
          </w:p>
        </w:tc>
        <w:tc>
          <w:tcPr>
            <w:tcW w:type="dxa" w:w="1234"/>
          </w:tcPr>
          <w:p>
            <w:r/>
            <w:r>
              <w:rPr>
                <w:sz w:val="16"/>
              </w:rPr>
              <w:t>col + tax ~ site blocks</w:t>
            </w:r>
          </w:p>
        </w:tc>
        <w:tc>
          <w:tcPr>
            <w:tcW w:type="dxa" w:w="1234"/>
          </w:tcPr>
          <w:p>
            <w:r/>
            <w:r>
              <w:rPr>
                <w:sz w:val="16"/>
              </w:rPr>
              <w:t>2</w:t>
            </w:r>
          </w:p>
        </w:tc>
        <w:tc>
          <w:tcPr>
            <w:tcW w:type="dxa" w:w="1234"/>
          </w:tcPr>
          <w:p>
            <w:r/>
            <w:r>
              <w:rPr>
                <w:sz w:val="16"/>
              </w:rPr>
              <w:t>0.029</w:t>
            </w:r>
          </w:p>
        </w:tc>
        <w:tc>
          <w:tcPr>
            <w:tcW w:type="dxa" w:w="1234"/>
          </w:tcPr>
          <w:p>
            <w:r/>
            <w:r>
              <w:rPr>
                <w:sz w:val="16"/>
              </w:rPr>
              <w:t>2.32</w:t>
            </w:r>
          </w:p>
        </w:tc>
        <w:tc>
          <w:tcPr>
            <w:tcW w:type="dxa" w:w="1234"/>
          </w:tcPr>
          <w:p>
            <w:r/>
            <w:r>
              <w:rPr>
                <w:sz w:val="16"/>
              </w:rPr>
              <w:t>14/24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0.196</w:t>
            </w:r>
          </w:p>
        </w:tc>
        <w:tc>
          <w:tcPr>
            <w:tcW w:type="dxa" w:w="1234"/>
          </w:tcPr>
          <w:p>
            <w:r/>
            <w:r>
              <w:rPr>
                <w:sz w:val="16"/>
              </w:rPr>
              <w:t>3.69</w:t>
            </w:r>
          </w:p>
        </w:tc>
        <w:tc>
          <w:tcPr>
            <w:tcW w:type="dxa" w:w="1234"/>
          </w:tcPr>
          <w:p>
            <w:r/>
            <w:r>
              <w:rPr>
                <w:sz w:val="16"/>
              </w:rPr>
              <w:t>—</w:t>
            </w:r>
          </w:p>
        </w:tc>
        <w:tc>
          <w:tcPr>
            <w:tcW w:type="dxa" w:w="1234"/>
          </w:tcPr>
          <w:p>
            <w:r/>
            <w:r>
              <w:rPr>
                <w:sz w:val="16"/>
              </w:rPr>
              <w:t>—</w:t>
            </w:r>
          </w:p>
        </w:tc>
      </w:tr>
      <w:tr>
        <w:tc>
          <w:tcPr>
            <w:tcW w:type="dxa" w:w="1234"/>
          </w:tcPr>
          <w:p>
            <w:r/>
            <w:r>
              <w:rPr>
                <w:sz w:val="16"/>
              </w:rPr>
              <w:t>Plate column, single-category stations</w:t>
            </w:r>
          </w:p>
        </w:tc>
        <w:tc>
          <w:tcPr>
            <w:tcW w:type="dxa" w:w="1234"/>
          </w:tcPr>
          <w:p>
            <w:r/>
            <w:r>
              <w:rPr>
                <w:sz w:val="16"/>
              </w:rPr>
              <w:t>col ~ site blocks</w:t>
            </w:r>
          </w:p>
        </w:tc>
        <w:tc>
          <w:tcPr>
            <w:tcW w:type="dxa" w:w="1234"/>
          </w:tcPr>
          <w:p>
            <w:r/>
            <w:r>
              <w:rPr>
                <w:sz w:val="16"/>
              </w:rPr>
              <w:t>9</w:t>
            </w:r>
          </w:p>
        </w:tc>
        <w:tc>
          <w:tcPr>
            <w:tcW w:type="dxa" w:w="1234"/>
          </w:tcPr>
          <w:p>
            <w:r/>
            <w:r>
              <w:rPr>
                <w:sz w:val="16"/>
              </w:rPr>
              <w:t>0.301</w:t>
            </w:r>
          </w:p>
        </w:tc>
        <w:tc>
          <w:tcPr>
            <w:tcW w:type="dxa" w:w="1234"/>
          </w:tcPr>
          <w:p>
            <w:r/>
            <w:r>
              <w:rPr>
                <w:sz w:val="16"/>
              </w:rPr>
              <w:t>2.11</w:t>
            </w:r>
          </w:p>
        </w:tc>
        <w:tc>
          <w:tcPr>
            <w:tcW w:type="dxa" w:w="1234"/>
          </w:tcPr>
          <w:p>
            <w:r/>
            <w:r>
              <w:rPr>
                <w:sz w:val="16"/>
              </w:rPr>
              <w:t>20/24</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tax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Because terms differ in degrees of freedom, effect sizes are also given relative to their expectation under the null, df/(n−1). Single-category stations are those carrying one genotypic category, where a column effect is positional by construction; the two-station Suran site is excluded from that subset because column could there encode station.</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r>
              <w:rPr>
                <w:b/>
                <w:sz w:val="16"/>
              </w:rPr>
              <w:t>Retention gap Pt−Hy, caudal fin (pts)</w:t>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r>
              <w:rPr>
                <w:sz w:val="16"/>
              </w:rPr>
              <w:t>2.5</w:t>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r>
              <w:rPr>
                <w:sz w:val="16"/>
              </w:rPr>
              <w:t>8.1</w:t>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r>
              <w:rPr>
                <w:sz w:val="16"/>
              </w:rPr>
              <w:t>21.4</w:t>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r>
              <w:rPr>
                <w:sz w:val="16"/>
              </w:rPr>
              <w:t>23.7</w:t>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r>
              <w:rPr>
                <w:sz w:val="16"/>
              </w:rPr>
              <w:t>28.2</w:t>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Metric</w:t>
            </w:r>
          </w:p>
        </w:tc>
        <w:tc>
          <w:tcPr>
            <w:tcW w:type="dxa" w:w="1234"/>
          </w:tcPr>
          <w:p>
            <w:r/>
            <w:r>
              <w:rPr>
                <w:b/>
                <w:sz w:val="16"/>
              </w:rPr>
              <w:t>Category R² (%), bracket</w:t>
            </w:r>
          </w:p>
        </w:tc>
        <w:tc>
          <w:tcPr>
            <w:tcW w:type="dxa" w:w="1234"/>
          </w:tcPr>
          <w:p>
            <w:r/>
            <w:r>
              <w:rPr>
                <w:b/>
                <w:sz w:val="16"/>
              </w:rPr>
              <w:t>Station R² (%)</w:t>
            </w:r>
          </w:p>
        </w:tc>
        <w:tc>
          <w:tcPr>
            <w:tcW w:type="dxa" w:w="1234"/>
          </w:tcPr>
          <w:p>
            <w:r/>
            <w:r>
              <w:rPr>
                <w:b/>
                <w:sz w:val="16"/>
              </w:rPr>
              <w:t>Caudal fin</w:t>
            </w:r>
          </w:p>
        </w:tc>
        <w:tc>
          <w:tcPr>
            <w:tcW w:type="dxa" w:w="1234"/>
          </w:tcPr>
          <w:p>
            <w:r/>
            <w:r>
              <w:rPr>
                <w:b/>
                <w:sz w:val="16"/>
              </w:rPr>
              <w:t>Gill</w:t>
            </w:r>
          </w:p>
        </w:tc>
        <w:tc>
          <w:tcPr>
            <w:tcW w:type="dxa" w:w="1234"/>
          </w:tcPr>
          <w:p>
            <w:r/>
            <w:r>
              <w:rPr>
                <w:b/>
                <w:sz w:val="16"/>
              </w:rPr>
              <w:t>Midgut</w:t>
            </w:r>
          </w:p>
        </w:tc>
        <w:tc>
          <w:tcPr>
            <w:tcW w:type="dxa" w:w="1234"/>
          </w:tcPr>
          <w:p>
            <w:r/>
            <w:r>
              <w:rPr>
                <w:b/>
                <w:sz w:val="16"/>
              </w:rPr>
              <w:t>Hindgut</w:t>
            </w:r>
          </w:p>
        </w:tc>
      </w:tr>
      <w:tr>
        <w:tc>
          <w:tcPr>
            <w:tcW w:type="dxa" w:w="1234"/>
          </w:tcPr>
          <w:p>
            <w:r/>
            <w:r>
              <w:rPr>
                <w:sz w:val="16"/>
              </w:rPr>
              <w:t>Bray–Curtis</w:t>
            </w:r>
          </w:p>
        </w:tc>
        <w:tc>
          <w:tcPr>
            <w:tcW w:type="dxa" w:w="1234"/>
          </w:tcPr>
          <w:p>
            <w:r/>
            <w:r>
              <w:rPr>
                <w:sz w:val="16"/>
              </w:rPr>
              <w:t>1.42–3.27</w:t>
            </w:r>
          </w:p>
        </w:tc>
        <w:tc>
          <w:tcPr>
            <w:tcW w:type="dxa" w:w="1234"/>
          </w:tcPr>
          <w:p>
            <w:r/>
            <w:r>
              <w:rPr>
                <w:sz w:val="16"/>
              </w:rPr>
              <w:t>25.6</w:t>
            </w:r>
          </w:p>
        </w:tc>
        <w:tc>
          <w:tcPr>
            <w:tcW w:type="dxa" w:w="1234"/>
          </w:tcPr>
          <w:p>
            <w:r/>
            <w:r>
              <w:rPr>
                <w:sz w:val="16"/>
              </w:rPr>
              <w:t>2 / 2</w:t>
            </w:r>
          </w:p>
        </w:tc>
        <w:tc>
          <w:tcPr>
            <w:tcW w:type="dxa" w:w="1234"/>
          </w:tcPr>
          <w:p>
            <w:r/>
            <w:r>
              <w:rPr>
                <w:sz w:val="16"/>
              </w:rPr>
              <w:t>3 / 3</w:t>
            </w:r>
          </w:p>
        </w:tc>
        <w:tc>
          <w:tcPr>
            <w:tcW w:type="dxa" w:w="1234"/>
          </w:tcPr>
          <w:p>
            <w:r/>
            <w:r>
              <w:rPr>
                <w:sz w:val="16"/>
              </w:rPr>
              <w:t>0 / 0</w:t>
            </w:r>
          </w:p>
        </w:tc>
        <w:tc>
          <w:tcPr>
            <w:tcW w:type="dxa" w:w="1234"/>
          </w:tcPr>
          <w:p>
            <w:r/>
            <w:r>
              <w:rPr>
                <w:sz w:val="16"/>
              </w:rPr>
              <w:t>0 / 0</w:t>
            </w:r>
          </w:p>
        </w:tc>
      </w:tr>
      <w:tr>
        <w:tc>
          <w:tcPr>
            <w:tcW w:type="dxa" w:w="1234"/>
          </w:tcPr>
          <w:p>
            <w:r/>
            <w:r>
              <w:rPr>
                <w:sz w:val="16"/>
              </w:rPr>
              <w:t>Jaccard</w:t>
            </w:r>
          </w:p>
        </w:tc>
        <w:tc>
          <w:tcPr>
            <w:tcW w:type="dxa" w:w="1234"/>
          </w:tcPr>
          <w:p>
            <w:r/>
            <w:r>
              <w:rPr>
                <w:sz w:val="16"/>
              </w:rPr>
              <w:t>1.36–2.08</w:t>
            </w:r>
          </w:p>
        </w:tc>
        <w:tc>
          <w:tcPr>
            <w:tcW w:type="dxa" w:w="1234"/>
          </w:tcPr>
          <w:p>
            <w:r/>
            <w:r>
              <w:rPr>
                <w:sz w:val="16"/>
              </w:rPr>
              <w:t>14.9</w:t>
            </w:r>
          </w:p>
        </w:tc>
        <w:tc>
          <w:tcPr>
            <w:tcW w:type="dxa" w:w="1234"/>
          </w:tcPr>
          <w:p>
            <w:r/>
            <w:r>
              <w:rPr>
                <w:sz w:val="16"/>
              </w:rPr>
              <w:t>0 / 1</w:t>
            </w:r>
          </w:p>
        </w:tc>
        <w:tc>
          <w:tcPr>
            <w:tcW w:type="dxa" w:w="1234"/>
          </w:tcPr>
          <w:p>
            <w:r/>
            <w:r>
              <w:rPr>
                <w:sz w:val="16"/>
              </w:rPr>
              <w:t>3 / 3</w:t>
            </w:r>
          </w:p>
        </w:tc>
        <w:tc>
          <w:tcPr>
            <w:tcW w:type="dxa" w:w="1234"/>
          </w:tcPr>
          <w:p>
            <w:r/>
            <w:r>
              <w:rPr>
                <w:sz w:val="16"/>
              </w:rPr>
              <w:t>3 / 3</w:t>
            </w:r>
          </w:p>
        </w:tc>
        <w:tc>
          <w:tcPr>
            <w:tcW w:type="dxa" w:w="1234"/>
          </w:tcPr>
          <w:p>
            <w:r/>
            <w:r>
              <w:rPr>
                <w:sz w:val="16"/>
              </w:rPr>
              <w:t>2 / 1</w:t>
            </w:r>
          </w:p>
        </w:tc>
      </w:tr>
      <w:tr>
        <w:tc>
          <w:tcPr>
            <w:tcW w:type="dxa" w:w="1234"/>
          </w:tcPr>
          <w:p>
            <w:r/>
            <w:r>
              <w:rPr>
                <w:sz w:val="16"/>
              </w:rPr>
              <w:t>Unweighted UniFrac</w:t>
            </w:r>
          </w:p>
        </w:tc>
        <w:tc>
          <w:tcPr>
            <w:tcW w:type="dxa" w:w="1234"/>
          </w:tcPr>
          <w:p>
            <w:r/>
            <w:r>
              <w:rPr>
                <w:sz w:val="16"/>
              </w:rPr>
              <w:t>1.58–2.43</w:t>
            </w:r>
          </w:p>
        </w:tc>
        <w:tc>
          <w:tcPr>
            <w:tcW w:type="dxa" w:w="1234"/>
          </w:tcPr>
          <w:p>
            <w:r/>
            <w:r>
              <w:rPr>
                <w:sz w:val="16"/>
              </w:rPr>
              <w:t>17.5</w:t>
            </w:r>
          </w:p>
        </w:tc>
        <w:tc>
          <w:tcPr>
            <w:tcW w:type="dxa" w:w="1234"/>
          </w:tcPr>
          <w:p>
            <w:r/>
            <w:r>
              <w:rPr>
                <w:sz w:val="16"/>
              </w:rPr>
              <w:t>2 / 3</w:t>
            </w:r>
          </w:p>
        </w:tc>
        <w:tc>
          <w:tcPr>
            <w:tcW w:type="dxa" w:w="1234"/>
          </w:tcPr>
          <w:p>
            <w:r/>
            <w:r>
              <w:rPr>
                <w:sz w:val="16"/>
              </w:rPr>
              <w:t>0 / 0</w:t>
            </w:r>
          </w:p>
        </w:tc>
        <w:tc>
          <w:tcPr>
            <w:tcW w:type="dxa" w:w="1234"/>
          </w:tcPr>
          <w:p>
            <w:r/>
            <w:r>
              <w:rPr>
                <w:sz w:val="16"/>
              </w:rPr>
              <w:t>3 / 3</w:t>
            </w:r>
          </w:p>
        </w:tc>
        <w:tc>
          <w:tcPr>
            <w:tcW w:type="dxa" w:w="1234"/>
          </w:tcPr>
          <w:p>
            <w:r/>
            <w:r>
              <w:rPr>
                <w:sz w:val="16"/>
              </w:rPr>
              <w:t>0 / 0</w:t>
            </w:r>
          </w:p>
        </w:tc>
      </w:tr>
      <w:tr>
        <w:tc>
          <w:tcPr>
            <w:tcW w:type="dxa" w:w="1234"/>
          </w:tcPr>
          <w:p>
            <w:r/>
            <w:r>
              <w:rPr>
                <w:sz w:val="16"/>
              </w:rPr>
              <w:t>Weighted UniFrac</w:t>
            </w:r>
          </w:p>
        </w:tc>
        <w:tc>
          <w:tcPr>
            <w:tcW w:type="dxa" w:w="1234"/>
          </w:tcPr>
          <w:p>
            <w:r/>
            <w:r>
              <w:rPr>
                <w:sz w:val="16"/>
              </w:rPr>
              <w:t>1.65–3.19</w:t>
            </w:r>
          </w:p>
        </w:tc>
        <w:tc>
          <w:tcPr>
            <w:tcW w:type="dxa" w:w="1234"/>
          </w:tcPr>
          <w:p>
            <w:r/>
            <w:r>
              <w:rPr>
                <w:sz w:val="16"/>
              </w:rPr>
              <w:t>29.0</w:t>
            </w:r>
          </w:p>
        </w:tc>
        <w:tc>
          <w:tcPr>
            <w:tcW w:type="dxa" w:w="1234"/>
          </w:tcPr>
          <w:p>
            <w:r/>
            <w:r>
              <w:rPr>
                <w:sz w:val="16"/>
              </w:rPr>
              <w:t>3 / 3</w:t>
            </w:r>
          </w:p>
        </w:tc>
        <w:tc>
          <w:tcPr>
            <w:tcW w:type="dxa" w:w="1234"/>
          </w:tcPr>
          <w:p>
            <w:r/>
            <w:r>
              <w:rPr>
                <w:sz w:val="16"/>
              </w:rPr>
              <w:t>3 / 0</w:t>
            </w:r>
          </w:p>
        </w:tc>
        <w:tc>
          <w:tcPr>
            <w:tcW w:type="dxa" w:w="1234"/>
          </w:tcPr>
          <w:p>
            <w:r/>
            <w:r>
              <w:rPr>
                <w:sz w:val="16"/>
              </w:rPr>
              <w:t>0 / 3</w:t>
            </w:r>
          </w:p>
        </w:tc>
        <w:tc>
          <w:tcPr>
            <w:tcW w:type="dxa" w:w="1234"/>
          </w:tcPr>
          <w:p>
            <w:r/>
            <w:r>
              <w:rPr>
                <w:sz w:val="16"/>
              </w:rPr>
              <w:t>0 / 0</w:t>
            </w:r>
          </w:p>
        </w:tc>
      </w:tr>
    </w:tbl>
    <w:p>
      <w:r>
        <w:rPr>
          <w:i/>
          <w:sz w:val="16"/>
        </w:rPr>
        <w:t>R² of genotypic category, bracketed by the two sequential orderings (category fitted last, then first); station R² is given for scale. The four right-hand columns give the number of sequencing runs out of three in which category is significant (p&lt;0.05), as sequential test / test with station fixed by permutation blocks. No tissue is detected by all four metrics in both schemes. This partition was run to size the terms before the ecological analysis, not as a result of it.</w:t>
      </w:r>
    </w:p>
    <w:p/>
    <w:p>
      <w:r>
        <w:drawing>
          <wp:inline xmlns:a="http://schemas.openxmlformats.org/drawingml/2006/main" xmlns:pic="http://schemas.openxmlformats.org/drawingml/2006/picture">
            <wp:extent cx="5852160" cy="2546588"/>
            <wp:docPr id="1" name="Picture 1"/>
            <wp:cNvGraphicFramePr>
              <a:graphicFrameLocks noChangeAspect="1"/>
            </wp:cNvGraphicFramePr>
            <a:graphic>
              <a:graphicData uri="http://schemas.openxmlformats.org/drawingml/2006/picture">
                <pic:pic>
                  <pic:nvPicPr>
                    <pic:cNvPr id="0" name="vc33e9d53_fig_position_effect.png"/>
                    <pic:cNvPicPr/>
                  </pic:nvPicPr>
                  <pic:blipFill>
                    <a:blip r:embed="rId9"/>
                    <a:stretch>
                      <a:fillRect/>
                    </a:stretch>
                  </pic:blipFill>
                  <pic:spPr>
                    <a:xfrm>
                      <a:off x="0" y="0"/>
                      <a:ext cx="5852160" cy="2546588"/>
                    </a:xfrm>
                    <a:prstGeom prst="rect"/>
                  </pic:spPr>
                </pic:pic>
              </a:graphicData>
            </a:graphic>
          </wp:inline>
        </w:drawing>
      </w:r>
    </w:p>
    <w:p>
      <w:r>
        <w:rPr>
          <w:i/>
          <w:sz w:val="16"/>
        </w:rPr>
        <w:t>Figure S1. Plate position affects community composition. (a) Association between genotypic category and plate column. (b) Effect sizes relative to the null expectation, by sequencing run and metric. (c) Witnesses separating position from taxon.</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S9. Dispersion of community composition by genotypic category (PERMDISP)</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6"/>
              </w:rPr>
              <w:t>Metric</w:t>
            </w:r>
          </w:p>
        </w:tc>
        <w:tc>
          <w:tcPr>
            <w:tcW w:type="dxa" w:w="1080"/>
          </w:tcPr>
          <w:p>
            <w:r/>
            <w:r>
              <w:rPr>
                <w:b/>
                <w:sz w:val="16"/>
              </w:rPr>
              <w:t>Tissue</w:t>
            </w:r>
          </w:p>
        </w:tc>
        <w:tc>
          <w:tcPr>
            <w:tcW w:type="dxa" w:w="1080"/>
          </w:tcPr>
          <w:p>
            <w:r/>
            <w:r>
              <w:rPr>
                <w:b/>
                <w:sz w:val="16"/>
              </w:rPr>
              <w:t>Significant, station-blocked</w:t>
            </w:r>
          </w:p>
        </w:tc>
        <w:tc>
          <w:tcPr>
            <w:tcW w:type="dxa" w:w="1080"/>
          </w:tcPr>
          <w:p>
            <w:r/>
            <w:r>
              <w:rPr>
                <w:b/>
                <w:sz w:val="16"/>
              </w:rPr>
              <w:t>Significant, within-station</w:t>
            </w:r>
          </w:p>
        </w:tc>
        <w:tc>
          <w:tcPr>
            <w:tcW w:type="dxa" w:w="1080"/>
          </w:tcPr>
          <w:p>
            <w:r/>
            <w:r>
              <w:rPr>
                <w:b/>
                <w:sz w:val="16"/>
              </w:rPr>
              <w:t>Median distance Cn</w:t>
            </w:r>
          </w:p>
        </w:tc>
        <w:tc>
          <w:tcPr>
            <w:tcW w:type="dxa" w:w="1080"/>
          </w:tcPr>
          <w:p>
            <w:r/>
            <w:r>
              <w:rPr>
                <w:b/>
                <w:sz w:val="16"/>
              </w:rPr>
              <w:t>Median distance Hy</w:t>
            </w:r>
          </w:p>
        </w:tc>
        <w:tc>
          <w:tcPr>
            <w:tcW w:type="dxa" w:w="1080"/>
          </w:tcPr>
          <w:p>
            <w:r/>
            <w:r>
              <w:rPr>
                <w:b/>
                <w:sz w:val="16"/>
              </w:rPr>
              <w:t>Median distance Pt</w:t>
            </w:r>
          </w:p>
        </w:tc>
        <w:tc>
          <w:tcPr>
            <w:tcW w:type="dxa" w:w="1080"/>
          </w:tcPr>
          <w:p>
            <w:r/>
            <w:r>
              <w:rPr>
                <w:b/>
                <w:sz w:val="16"/>
              </w:rPr>
              <w:t>Hy most dispersed</w:t>
            </w:r>
          </w:p>
        </w:tc>
      </w:tr>
      <w:tr>
        <w:tc>
          <w:tcPr>
            <w:tcW w:type="dxa" w:w="1080"/>
          </w:tcPr>
          <w:p>
            <w:r/>
            <w:r>
              <w:rPr>
                <w:sz w:val="16"/>
              </w:rPr>
              <w:t>Bray-Curtis</w:t>
            </w:r>
          </w:p>
        </w:tc>
        <w:tc>
          <w:tcPr>
            <w:tcW w:type="dxa" w:w="1080"/>
          </w:tcPr>
          <w:p>
            <w:r/>
            <w:r>
              <w:rPr>
                <w:sz w:val="16"/>
              </w:rPr>
              <w:t>caudale</w:t>
            </w:r>
          </w:p>
        </w:tc>
        <w:tc>
          <w:tcPr>
            <w:tcW w:type="dxa" w:w="1080"/>
          </w:tcPr>
          <w:p>
            <w:r/>
            <w:r>
              <w:rPr>
                <w:sz w:val="16"/>
              </w:rPr>
              <w:t>3/3</w:t>
            </w:r>
          </w:p>
        </w:tc>
        <w:tc>
          <w:tcPr>
            <w:tcW w:type="dxa" w:w="1080"/>
          </w:tcPr>
          <w:p>
            <w:r/>
            <w:r>
              <w:rPr>
                <w:sz w:val="16"/>
              </w:rPr>
              <w:t>0/3</w:t>
            </w:r>
          </w:p>
        </w:tc>
        <w:tc>
          <w:tcPr>
            <w:tcW w:type="dxa" w:w="1080"/>
          </w:tcPr>
          <w:p>
            <w:r/>
            <w:r>
              <w:rPr>
                <w:sz w:val="16"/>
              </w:rPr>
              <w:t>0.638</w:t>
            </w:r>
          </w:p>
        </w:tc>
        <w:tc>
          <w:tcPr>
            <w:tcW w:type="dxa" w:w="1080"/>
          </w:tcPr>
          <w:p>
            <w:r/>
            <w:r>
              <w:rPr>
                <w:sz w:val="16"/>
              </w:rPr>
              <w:t>0.602</w:t>
            </w:r>
          </w:p>
        </w:tc>
        <w:tc>
          <w:tcPr>
            <w:tcW w:type="dxa" w:w="1080"/>
          </w:tcPr>
          <w:p>
            <w:r/>
            <w:r>
              <w:rPr>
                <w:sz w:val="16"/>
              </w:rPr>
              <w:t>0.652</w:t>
            </w:r>
          </w:p>
        </w:tc>
        <w:tc>
          <w:tcPr>
            <w:tcW w:type="dxa" w:w="1080"/>
          </w:tcPr>
          <w:p>
            <w:r/>
            <w:r>
              <w:rPr>
                <w:sz w:val="16"/>
              </w:rPr>
              <w:t>0/3</w:t>
            </w:r>
          </w:p>
        </w:tc>
      </w:tr>
      <w:tr>
        <w:tc>
          <w:tcPr>
            <w:tcW w:type="dxa" w:w="1080"/>
          </w:tcPr>
          <w:p>
            <w:r/>
            <w:r>
              <w:rPr>
                <w:sz w:val="16"/>
              </w:rPr>
              <w:t>Bray-Curtis</w:t>
            </w:r>
          </w:p>
        </w:tc>
        <w:tc>
          <w:tcPr>
            <w:tcW w:type="dxa" w:w="1080"/>
          </w:tcPr>
          <w:p>
            <w:r/>
            <w:r>
              <w:rPr>
                <w:sz w:val="16"/>
              </w:rPr>
              <w:t>branchie</w:t>
            </w:r>
          </w:p>
        </w:tc>
        <w:tc>
          <w:tcPr>
            <w:tcW w:type="dxa" w:w="1080"/>
          </w:tcPr>
          <w:p>
            <w:r/>
            <w:r>
              <w:rPr>
                <w:sz w:val="16"/>
              </w:rPr>
              <w:t>0/3</w:t>
            </w:r>
          </w:p>
        </w:tc>
        <w:tc>
          <w:tcPr>
            <w:tcW w:type="dxa" w:w="1080"/>
          </w:tcPr>
          <w:p>
            <w:r/>
            <w:r>
              <w:rPr>
                <w:sz w:val="16"/>
              </w:rPr>
              <w:t>0/9</w:t>
            </w:r>
          </w:p>
        </w:tc>
        <w:tc>
          <w:tcPr>
            <w:tcW w:type="dxa" w:w="1080"/>
          </w:tcPr>
          <w:p>
            <w:r/>
            <w:r>
              <w:rPr>
                <w:sz w:val="16"/>
              </w:rPr>
              <w:t>0.623</w:t>
            </w:r>
          </w:p>
        </w:tc>
        <w:tc>
          <w:tcPr>
            <w:tcW w:type="dxa" w:w="1080"/>
          </w:tcPr>
          <w:p>
            <w:r/>
            <w:r>
              <w:rPr>
                <w:sz w:val="16"/>
              </w:rPr>
              <w:t>0.629</w:t>
            </w:r>
          </w:p>
        </w:tc>
        <w:tc>
          <w:tcPr>
            <w:tcW w:type="dxa" w:w="1080"/>
          </w:tcPr>
          <w:p>
            <w:r/>
            <w:r>
              <w:rPr>
                <w:sz w:val="16"/>
              </w:rPr>
              <w:t>0.628</w:t>
            </w:r>
          </w:p>
        </w:tc>
        <w:tc>
          <w:tcPr>
            <w:tcW w:type="dxa" w:w="1080"/>
          </w:tcPr>
          <w:p>
            <w:r/>
            <w:r>
              <w:rPr>
                <w:sz w:val="16"/>
              </w:rPr>
              <w:t>2/3</w:t>
            </w:r>
          </w:p>
        </w:tc>
      </w:tr>
      <w:tr>
        <w:tc>
          <w:tcPr>
            <w:tcW w:type="dxa" w:w="1080"/>
          </w:tcPr>
          <w:p>
            <w:r/>
            <w:r>
              <w:rPr>
                <w:sz w:val="16"/>
              </w:rPr>
              <w:t>Bray-Curtis</w:t>
            </w:r>
          </w:p>
        </w:tc>
        <w:tc>
          <w:tcPr>
            <w:tcW w:type="dxa" w:w="1080"/>
          </w:tcPr>
          <w:p>
            <w:r/>
            <w:r>
              <w:rPr>
                <w:sz w:val="16"/>
              </w:rPr>
              <w:t>midgut</w:t>
            </w:r>
          </w:p>
        </w:tc>
        <w:tc>
          <w:tcPr>
            <w:tcW w:type="dxa" w:w="1080"/>
          </w:tcPr>
          <w:p>
            <w:r/>
            <w:r>
              <w:rPr>
                <w:sz w:val="16"/>
              </w:rPr>
              <w:t>0/3</w:t>
            </w:r>
          </w:p>
        </w:tc>
        <w:tc>
          <w:tcPr>
            <w:tcW w:type="dxa" w:w="1080"/>
          </w:tcPr>
          <w:p>
            <w:r/>
            <w:r>
              <w:rPr>
                <w:sz w:val="16"/>
              </w:rPr>
              <w:t>0/6</w:t>
            </w:r>
          </w:p>
        </w:tc>
        <w:tc>
          <w:tcPr>
            <w:tcW w:type="dxa" w:w="1080"/>
          </w:tcPr>
          <w:p>
            <w:r/>
            <w:r>
              <w:rPr>
                <w:sz w:val="16"/>
              </w:rPr>
              <w:t>0.581</w:t>
            </w:r>
          </w:p>
        </w:tc>
        <w:tc>
          <w:tcPr>
            <w:tcW w:type="dxa" w:w="1080"/>
          </w:tcPr>
          <w:p>
            <w:r/>
            <w:r>
              <w:rPr>
                <w:sz w:val="16"/>
              </w:rPr>
              <w:t>0.559</w:t>
            </w:r>
          </w:p>
        </w:tc>
        <w:tc>
          <w:tcPr>
            <w:tcW w:type="dxa" w:w="1080"/>
          </w:tcPr>
          <w:p>
            <w:r/>
            <w:r>
              <w:rPr>
                <w:sz w:val="16"/>
              </w:rPr>
              <w:t>0.61</w:t>
            </w:r>
          </w:p>
        </w:tc>
        <w:tc>
          <w:tcPr>
            <w:tcW w:type="dxa" w:w="1080"/>
          </w:tcPr>
          <w:p>
            <w:r/>
            <w:r>
              <w:rPr>
                <w:sz w:val="16"/>
              </w:rPr>
              <w:t>0/3</w:t>
            </w:r>
          </w:p>
        </w:tc>
      </w:tr>
      <w:tr>
        <w:tc>
          <w:tcPr>
            <w:tcW w:type="dxa" w:w="1080"/>
          </w:tcPr>
          <w:p>
            <w:r/>
            <w:r>
              <w:rPr>
                <w:sz w:val="16"/>
              </w:rPr>
              <w:t>Bray-Curtis</w:t>
            </w:r>
          </w:p>
        </w:tc>
        <w:tc>
          <w:tcPr>
            <w:tcW w:type="dxa" w:w="1080"/>
          </w:tcPr>
          <w:p>
            <w:r/>
            <w:r>
              <w:rPr>
                <w:sz w:val="16"/>
              </w:rPr>
              <w:t>hindgut</w:t>
            </w:r>
          </w:p>
        </w:tc>
        <w:tc>
          <w:tcPr>
            <w:tcW w:type="dxa" w:w="1080"/>
          </w:tcPr>
          <w:p>
            <w:r/>
            <w:r>
              <w:rPr>
                <w:sz w:val="16"/>
              </w:rPr>
              <w:t>3/3</w:t>
            </w:r>
          </w:p>
        </w:tc>
        <w:tc>
          <w:tcPr>
            <w:tcW w:type="dxa" w:w="1080"/>
          </w:tcPr>
          <w:p>
            <w:r/>
            <w:r>
              <w:rPr>
                <w:sz w:val="16"/>
              </w:rPr>
              <w:t>0/9</w:t>
            </w:r>
          </w:p>
        </w:tc>
        <w:tc>
          <w:tcPr>
            <w:tcW w:type="dxa" w:w="1080"/>
          </w:tcPr>
          <w:p>
            <w:r/>
            <w:r>
              <w:rPr>
                <w:sz w:val="16"/>
              </w:rPr>
              <w:t>0.578</w:t>
            </w:r>
          </w:p>
        </w:tc>
        <w:tc>
          <w:tcPr>
            <w:tcW w:type="dxa" w:w="1080"/>
          </w:tcPr>
          <w:p>
            <w:r/>
            <w:r>
              <w:rPr>
                <w:sz w:val="16"/>
              </w:rPr>
              <w:t>0.56</w:t>
            </w:r>
          </w:p>
        </w:tc>
        <w:tc>
          <w:tcPr>
            <w:tcW w:type="dxa" w:w="1080"/>
          </w:tcPr>
          <w:p>
            <w:r/>
            <w:r>
              <w:rPr>
                <w:sz w:val="16"/>
              </w:rPr>
              <w:t>0.622</w:t>
            </w:r>
          </w:p>
        </w:tc>
        <w:tc>
          <w:tcPr>
            <w:tcW w:type="dxa" w:w="1080"/>
          </w:tcPr>
          <w:p>
            <w:r/>
            <w:r>
              <w:rPr>
                <w:sz w:val="16"/>
              </w:rPr>
              <w:t>0/3</w:t>
            </w:r>
          </w:p>
        </w:tc>
      </w:tr>
      <w:tr>
        <w:tc>
          <w:tcPr>
            <w:tcW w:type="dxa" w:w="1080"/>
          </w:tcPr>
          <w:p>
            <w:r/>
            <w:r>
              <w:rPr>
                <w:sz w:val="16"/>
              </w:rPr>
              <w:t>Jaccard</w:t>
            </w:r>
          </w:p>
        </w:tc>
        <w:tc>
          <w:tcPr>
            <w:tcW w:type="dxa" w:w="1080"/>
          </w:tcPr>
          <w:p>
            <w:r/>
            <w:r>
              <w:rPr>
                <w:sz w:val="16"/>
              </w:rPr>
              <w:t>caudale</w:t>
            </w:r>
          </w:p>
        </w:tc>
        <w:tc>
          <w:tcPr>
            <w:tcW w:type="dxa" w:w="1080"/>
          </w:tcPr>
          <w:p>
            <w:r/>
            <w:r>
              <w:rPr>
                <w:sz w:val="16"/>
              </w:rPr>
              <w:t>3/3</w:t>
            </w:r>
          </w:p>
        </w:tc>
        <w:tc>
          <w:tcPr>
            <w:tcW w:type="dxa" w:w="1080"/>
          </w:tcPr>
          <w:p>
            <w:r/>
            <w:r>
              <w:rPr>
                <w:sz w:val="16"/>
              </w:rPr>
              <w:t>3/3</w:t>
            </w:r>
          </w:p>
        </w:tc>
        <w:tc>
          <w:tcPr>
            <w:tcW w:type="dxa" w:w="1080"/>
          </w:tcPr>
          <w:p>
            <w:r/>
            <w:r>
              <w:rPr>
                <w:sz w:val="16"/>
              </w:rPr>
              <w:t>0.667</w:t>
            </w:r>
          </w:p>
        </w:tc>
        <w:tc>
          <w:tcPr>
            <w:tcW w:type="dxa" w:w="1080"/>
          </w:tcPr>
          <w:p>
            <w:r/>
            <w:r>
              <w:rPr>
                <w:sz w:val="16"/>
              </w:rPr>
              <w:t>0.64</w:t>
            </w:r>
          </w:p>
        </w:tc>
        <w:tc>
          <w:tcPr>
            <w:tcW w:type="dxa" w:w="1080"/>
          </w:tcPr>
          <w:p>
            <w:r/>
            <w:r>
              <w:rPr>
                <w:sz w:val="16"/>
              </w:rPr>
              <w:t>0.672</w:t>
            </w:r>
          </w:p>
        </w:tc>
        <w:tc>
          <w:tcPr>
            <w:tcW w:type="dxa" w:w="1080"/>
          </w:tcPr>
          <w:p>
            <w:r/>
            <w:r>
              <w:rPr>
                <w:sz w:val="16"/>
              </w:rPr>
              <w:t>0/3</w:t>
            </w:r>
          </w:p>
        </w:tc>
      </w:tr>
      <w:tr>
        <w:tc>
          <w:tcPr>
            <w:tcW w:type="dxa" w:w="1080"/>
          </w:tcPr>
          <w:p>
            <w:r/>
            <w:r>
              <w:rPr>
                <w:sz w:val="16"/>
              </w:rPr>
              <w:t>Jaccard</w:t>
            </w:r>
          </w:p>
        </w:tc>
        <w:tc>
          <w:tcPr>
            <w:tcW w:type="dxa" w:w="1080"/>
          </w:tcPr>
          <w:p>
            <w:r/>
            <w:r>
              <w:rPr>
                <w:sz w:val="16"/>
              </w:rPr>
              <w:t>branchie</w:t>
            </w:r>
          </w:p>
        </w:tc>
        <w:tc>
          <w:tcPr>
            <w:tcW w:type="dxa" w:w="1080"/>
          </w:tcPr>
          <w:p>
            <w:r/>
            <w:r>
              <w:rPr>
                <w:sz w:val="16"/>
              </w:rPr>
              <w:t>0/3</w:t>
            </w:r>
          </w:p>
        </w:tc>
        <w:tc>
          <w:tcPr>
            <w:tcW w:type="dxa" w:w="1080"/>
          </w:tcPr>
          <w:p>
            <w:r/>
            <w:r>
              <w:rPr>
                <w:sz w:val="16"/>
              </w:rPr>
              <w:t>1/9</w:t>
            </w:r>
          </w:p>
        </w:tc>
        <w:tc>
          <w:tcPr>
            <w:tcW w:type="dxa" w:w="1080"/>
          </w:tcPr>
          <w:p>
            <w:r/>
            <w:r>
              <w:rPr>
                <w:sz w:val="16"/>
              </w:rPr>
              <w:t>0.657</w:t>
            </w:r>
          </w:p>
        </w:tc>
        <w:tc>
          <w:tcPr>
            <w:tcW w:type="dxa" w:w="1080"/>
          </w:tcPr>
          <w:p>
            <w:r/>
            <w:r>
              <w:rPr>
                <w:sz w:val="16"/>
              </w:rPr>
              <w:t>0.652</w:t>
            </w:r>
          </w:p>
        </w:tc>
        <w:tc>
          <w:tcPr>
            <w:tcW w:type="dxa" w:w="1080"/>
          </w:tcPr>
          <w:p>
            <w:r/>
            <w:r>
              <w:rPr>
                <w:sz w:val="16"/>
              </w:rPr>
              <w:t>0.653</w:t>
            </w:r>
          </w:p>
        </w:tc>
        <w:tc>
          <w:tcPr>
            <w:tcW w:type="dxa" w:w="1080"/>
          </w:tcPr>
          <w:p>
            <w:r/>
            <w:r>
              <w:rPr>
                <w:sz w:val="16"/>
              </w:rPr>
              <w:t>0/3</w:t>
            </w:r>
          </w:p>
        </w:tc>
      </w:tr>
      <w:tr>
        <w:tc>
          <w:tcPr>
            <w:tcW w:type="dxa" w:w="1080"/>
          </w:tcPr>
          <w:p>
            <w:r/>
            <w:r>
              <w:rPr>
                <w:sz w:val="16"/>
              </w:rPr>
              <w:t>Jaccard</w:t>
            </w:r>
          </w:p>
        </w:tc>
        <w:tc>
          <w:tcPr>
            <w:tcW w:type="dxa" w:w="1080"/>
          </w:tcPr>
          <w:p>
            <w:r/>
            <w:r>
              <w:rPr>
                <w:sz w:val="16"/>
              </w:rPr>
              <w:t>midgut</w:t>
            </w:r>
          </w:p>
        </w:tc>
        <w:tc>
          <w:tcPr>
            <w:tcW w:type="dxa" w:w="1080"/>
          </w:tcPr>
          <w:p>
            <w:r/>
            <w:r>
              <w:rPr>
                <w:sz w:val="16"/>
              </w:rPr>
              <w:t>1/3</w:t>
            </w:r>
          </w:p>
        </w:tc>
        <w:tc>
          <w:tcPr>
            <w:tcW w:type="dxa" w:w="1080"/>
          </w:tcPr>
          <w:p>
            <w:r/>
            <w:r>
              <w:rPr>
                <w:sz w:val="16"/>
              </w:rPr>
              <w:t>1/6</w:t>
            </w:r>
          </w:p>
        </w:tc>
        <w:tc>
          <w:tcPr>
            <w:tcW w:type="dxa" w:w="1080"/>
          </w:tcPr>
          <w:p>
            <w:r/>
            <w:r>
              <w:rPr>
                <w:sz w:val="16"/>
              </w:rPr>
              <w:t>0.648</w:t>
            </w:r>
          </w:p>
        </w:tc>
        <w:tc>
          <w:tcPr>
            <w:tcW w:type="dxa" w:w="1080"/>
          </w:tcPr>
          <w:p>
            <w:r/>
            <w:r>
              <w:rPr>
                <w:sz w:val="16"/>
              </w:rPr>
              <w:t>0.633</w:t>
            </w:r>
          </w:p>
        </w:tc>
        <w:tc>
          <w:tcPr>
            <w:tcW w:type="dxa" w:w="1080"/>
          </w:tcPr>
          <w:p>
            <w:r/>
            <w:r>
              <w:rPr>
                <w:sz w:val="16"/>
              </w:rPr>
              <w:t>0.645</w:t>
            </w:r>
          </w:p>
        </w:tc>
        <w:tc>
          <w:tcPr>
            <w:tcW w:type="dxa" w:w="1080"/>
          </w:tcPr>
          <w:p>
            <w:r/>
            <w:r>
              <w:rPr>
                <w:sz w:val="16"/>
              </w:rPr>
              <w:t>0/3</w:t>
            </w:r>
          </w:p>
        </w:tc>
      </w:tr>
      <w:tr>
        <w:tc>
          <w:tcPr>
            <w:tcW w:type="dxa" w:w="1080"/>
          </w:tcPr>
          <w:p>
            <w:r/>
            <w:r>
              <w:rPr>
                <w:sz w:val="16"/>
              </w:rPr>
              <w:t>Jaccard</w:t>
            </w:r>
          </w:p>
        </w:tc>
        <w:tc>
          <w:tcPr>
            <w:tcW w:type="dxa" w:w="1080"/>
          </w:tcPr>
          <w:p>
            <w:r/>
            <w:r>
              <w:rPr>
                <w:sz w:val="16"/>
              </w:rPr>
              <w:t>hindgut</w:t>
            </w:r>
          </w:p>
        </w:tc>
        <w:tc>
          <w:tcPr>
            <w:tcW w:type="dxa" w:w="1080"/>
          </w:tcPr>
          <w:p>
            <w:r/>
            <w:r>
              <w:rPr>
                <w:sz w:val="16"/>
              </w:rPr>
              <w:t>1/3</w:t>
            </w:r>
          </w:p>
        </w:tc>
        <w:tc>
          <w:tcPr>
            <w:tcW w:type="dxa" w:w="1080"/>
          </w:tcPr>
          <w:p>
            <w:r/>
            <w:r>
              <w:rPr>
                <w:sz w:val="16"/>
              </w:rPr>
              <w:t>0/9</w:t>
            </w:r>
          </w:p>
        </w:tc>
        <w:tc>
          <w:tcPr>
            <w:tcW w:type="dxa" w:w="1080"/>
          </w:tcPr>
          <w:p>
            <w:r/>
            <w:r>
              <w:rPr>
                <w:sz w:val="16"/>
              </w:rPr>
              <w:t>0.653</w:t>
            </w:r>
          </w:p>
        </w:tc>
        <w:tc>
          <w:tcPr>
            <w:tcW w:type="dxa" w:w="1080"/>
          </w:tcPr>
          <w:p>
            <w:r/>
            <w:r>
              <w:rPr>
                <w:sz w:val="16"/>
              </w:rPr>
              <w:t>0.65</w:t>
            </w:r>
          </w:p>
        </w:tc>
        <w:tc>
          <w:tcPr>
            <w:tcW w:type="dxa" w:w="1080"/>
          </w:tcPr>
          <w:p>
            <w:r/>
            <w:r>
              <w:rPr>
                <w:sz w:val="16"/>
              </w:rPr>
              <w:t>0.66</w:t>
            </w:r>
          </w:p>
        </w:tc>
        <w:tc>
          <w:tcPr>
            <w:tcW w:type="dxa" w:w="1080"/>
          </w:tcPr>
          <w:p>
            <w:r/>
            <w:r>
              <w:rPr>
                <w:sz w:val="16"/>
              </w:rPr>
              <w:t>0/3</w:t>
            </w:r>
          </w:p>
        </w:tc>
      </w:tr>
      <w:tr>
        <w:tc>
          <w:tcPr>
            <w:tcW w:type="dxa" w:w="1080"/>
          </w:tcPr>
          <w:p>
            <w:r/>
            <w:r>
              <w:rPr>
                <w:sz w:val="16"/>
              </w:rPr>
              <w:t>UniFrac non pondéré</w:t>
            </w:r>
          </w:p>
        </w:tc>
        <w:tc>
          <w:tcPr>
            <w:tcW w:type="dxa" w:w="1080"/>
          </w:tcPr>
          <w:p>
            <w:r/>
            <w:r>
              <w:rPr>
                <w:sz w:val="16"/>
              </w:rPr>
              <w:t>caudale</w:t>
            </w:r>
          </w:p>
        </w:tc>
        <w:tc>
          <w:tcPr>
            <w:tcW w:type="dxa" w:w="1080"/>
          </w:tcPr>
          <w:p>
            <w:r/>
            <w:r>
              <w:rPr>
                <w:sz w:val="16"/>
              </w:rPr>
              <w:t>3/3</w:t>
            </w:r>
          </w:p>
        </w:tc>
        <w:tc>
          <w:tcPr>
            <w:tcW w:type="dxa" w:w="1080"/>
          </w:tcPr>
          <w:p>
            <w:r/>
            <w:r>
              <w:rPr>
                <w:sz w:val="16"/>
              </w:rPr>
              <w:t>3/3</w:t>
            </w:r>
          </w:p>
        </w:tc>
        <w:tc>
          <w:tcPr>
            <w:tcW w:type="dxa" w:w="1080"/>
          </w:tcPr>
          <w:p>
            <w:r/>
            <w:r>
              <w:rPr>
                <w:sz w:val="16"/>
              </w:rPr>
              <w:t>0.497</w:t>
            </w:r>
          </w:p>
        </w:tc>
        <w:tc>
          <w:tcPr>
            <w:tcW w:type="dxa" w:w="1080"/>
          </w:tcPr>
          <w:p>
            <w:r/>
            <w:r>
              <w:rPr>
                <w:sz w:val="16"/>
              </w:rPr>
              <w:t>0.464</w:t>
            </w:r>
          </w:p>
        </w:tc>
        <w:tc>
          <w:tcPr>
            <w:tcW w:type="dxa" w:w="1080"/>
          </w:tcPr>
          <w:p>
            <w:r/>
            <w:r>
              <w:rPr>
                <w:sz w:val="16"/>
              </w:rPr>
              <w:t>0.501</w:t>
            </w:r>
          </w:p>
        </w:tc>
        <w:tc>
          <w:tcPr>
            <w:tcW w:type="dxa" w:w="1080"/>
          </w:tcPr>
          <w:p>
            <w:r/>
            <w:r>
              <w:rPr>
                <w:sz w:val="16"/>
              </w:rPr>
              <w:t>0/3</w:t>
            </w:r>
          </w:p>
        </w:tc>
      </w:tr>
      <w:tr>
        <w:tc>
          <w:tcPr>
            <w:tcW w:type="dxa" w:w="1080"/>
          </w:tcPr>
          <w:p>
            <w:r/>
            <w:r>
              <w:rPr>
                <w:sz w:val="16"/>
              </w:rPr>
              <w:t>UniFrac non pondéré</w:t>
            </w:r>
          </w:p>
        </w:tc>
        <w:tc>
          <w:tcPr>
            <w:tcW w:type="dxa" w:w="1080"/>
          </w:tcPr>
          <w:p>
            <w:r/>
            <w:r>
              <w:rPr>
                <w:sz w:val="16"/>
              </w:rPr>
              <w:t>branchie</w:t>
            </w:r>
          </w:p>
        </w:tc>
        <w:tc>
          <w:tcPr>
            <w:tcW w:type="dxa" w:w="1080"/>
          </w:tcPr>
          <w:p>
            <w:r/>
            <w:r>
              <w:rPr>
                <w:sz w:val="16"/>
              </w:rPr>
              <w:t>2/3</w:t>
            </w:r>
          </w:p>
        </w:tc>
        <w:tc>
          <w:tcPr>
            <w:tcW w:type="dxa" w:w="1080"/>
          </w:tcPr>
          <w:p>
            <w:r/>
            <w:r>
              <w:rPr>
                <w:sz w:val="16"/>
              </w:rPr>
              <w:t>0/9</w:t>
            </w:r>
          </w:p>
        </w:tc>
        <w:tc>
          <w:tcPr>
            <w:tcW w:type="dxa" w:w="1080"/>
          </w:tcPr>
          <w:p>
            <w:r/>
            <w:r>
              <w:rPr>
                <w:sz w:val="16"/>
              </w:rPr>
              <w:t>0.5</w:t>
            </w:r>
          </w:p>
        </w:tc>
        <w:tc>
          <w:tcPr>
            <w:tcW w:type="dxa" w:w="1080"/>
          </w:tcPr>
          <w:p>
            <w:r/>
            <w:r>
              <w:rPr>
                <w:sz w:val="16"/>
              </w:rPr>
              <w:t>0.496</w:t>
            </w:r>
          </w:p>
        </w:tc>
        <w:tc>
          <w:tcPr>
            <w:tcW w:type="dxa" w:w="1080"/>
          </w:tcPr>
          <w:p>
            <w:r/>
            <w:r>
              <w:rPr>
                <w:sz w:val="16"/>
              </w:rPr>
              <w:t>0.482</w:t>
            </w:r>
          </w:p>
        </w:tc>
        <w:tc>
          <w:tcPr>
            <w:tcW w:type="dxa" w:w="1080"/>
          </w:tcPr>
          <w:p>
            <w:r/>
            <w:r>
              <w:rPr>
                <w:sz w:val="16"/>
              </w:rPr>
              <w:t>1/3</w:t>
            </w:r>
          </w:p>
        </w:tc>
      </w:tr>
      <w:tr>
        <w:tc>
          <w:tcPr>
            <w:tcW w:type="dxa" w:w="1080"/>
          </w:tcPr>
          <w:p>
            <w:r/>
            <w:r>
              <w:rPr>
                <w:sz w:val="16"/>
              </w:rPr>
              <w:t>UniFrac non pondéré</w:t>
            </w:r>
          </w:p>
        </w:tc>
        <w:tc>
          <w:tcPr>
            <w:tcW w:type="dxa" w:w="1080"/>
          </w:tcPr>
          <w:p>
            <w:r/>
            <w:r>
              <w:rPr>
                <w:sz w:val="16"/>
              </w:rPr>
              <w:t>midgut</w:t>
            </w:r>
          </w:p>
        </w:tc>
        <w:tc>
          <w:tcPr>
            <w:tcW w:type="dxa" w:w="1080"/>
          </w:tcPr>
          <w:p>
            <w:r/>
            <w:r>
              <w:rPr>
                <w:sz w:val="16"/>
              </w:rPr>
              <w:t>3/3</w:t>
            </w:r>
          </w:p>
        </w:tc>
        <w:tc>
          <w:tcPr>
            <w:tcW w:type="dxa" w:w="1080"/>
          </w:tcPr>
          <w:p>
            <w:r/>
            <w:r>
              <w:rPr>
                <w:sz w:val="16"/>
              </w:rPr>
              <w:t>0/6</w:t>
            </w:r>
          </w:p>
        </w:tc>
        <w:tc>
          <w:tcPr>
            <w:tcW w:type="dxa" w:w="1080"/>
          </w:tcPr>
          <w:p>
            <w:r/>
            <w:r>
              <w:rPr>
                <w:sz w:val="16"/>
              </w:rPr>
              <w:t>0.483</w:t>
            </w:r>
          </w:p>
        </w:tc>
        <w:tc>
          <w:tcPr>
            <w:tcW w:type="dxa" w:w="1080"/>
          </w:tcPr>
          <w:p>
            <w:r/>
            <w:r>
              <w:rPr>
                <w:sz w:val="16"/>
              </w:rPr>
              <w:t>0.425</w:t>
            </w:r>
          </w:p>
        </w:tc>
        <w:tc>
          <w:tcPr>
            <w:tcW w:type="dxa" w:w="1080"/>
          </w:tcPr>
          <w:p>
            <w:r/>
            <w:r>
              <w:rPr>
                <w:sz w:val="16"/>
              </w:rPr>
              <w:t>0.478</w:t>
            </w:r>
          </w:p>
        </w:tc>
        <w:tc>
          <w:tcPr>
            <w:tcW w:type="dxa" w:w="1080"/>
          </w:tcPr>
          <w:p>
            <w:r/>
            <w:r>
              <w:rPr>
                <w:sz w:val="16"/>
              </w:rPr>
              <w:t>0/3</w:t>
            </w:r>
          </w:p>
        </w:tc>
      </w:tr>
      <w:tr>
        <w:tc>
          <w:tcPr>
            <w:tcW w:type="dxa" w:w="1080"/>
          </w:tcPr>
          <w:p>
            <w:r/>
            <w:r>
              <w:rPr>
                <w:sz w:val="16"/>
              </w:rPr>
              <w:t>UniFrac non pondéré</w:t>
            </w:r>
          </w:p>
        </w:tc>
        <w:tc>
          <w:tcPr>
            <w:tcW w:type="dxa" w:w="1080"/>
          </w:tcPr>
          <w:p>
            <w:r/>
            <w:r>
              <w:rPr>
                <w:sz w:val="16"/>
              </w:rPr>
              <w:t>hindgut</w:t>
            </w:r>
          </w:p>
        </w:tc>
        <w:tc>
          <w:tcPr>
            <w:tcW w:type="dxa" w:w="1080"/>
          </w:tcPr>
          <w:p>
            <w:r/>
            <w:r>
              <w:rPr>
                <w:sz w:val="16"/>
              </w:rPr>
              <w:t>0/3</w:t>
            </w:r>
          </w:p>
        </w:tc>
        <w:tc>
          <w:tcPr>
            <w:tcW w:type="dxa" w:w="1080"/>
          </w:tcPr>
          <w:p>
            <w:r/>
            <w:r>
              <w:rPr>
                <w:sz w:val="16"/>
              </w:rPr>
              <w:t>0/9</w:t>
            </w:r>
          </w:p>
        </w:tc>
        <w:tc>
          <w:tcPr>
            <w:tcW w:type="dxa" w:w="1080"/>
          </w:tcPr>
          <w:p>
            <w:r/>
            <w:r>
              <w:rPr>
                <w:sz w:val="16"/>
              </w:rPr>
              <w:t>0.478</w:t>
            </w:r>
          </w:p>
        </w:tc>
        <w:tc>
          <w:tcPr>
            <w:tcW w:type="dxa" w:w="1080"/>
          </w:tcPr>
          <w:p>
            <w:r/>
            <w:r>
              <w:rPr>
                <w:sz w:val="16"/>
              </w:rPr>
              <w:t>0.472</w:t>
            </w:r>
          </w:p>
        </w:tc>
        <w:tc>
          <w:tcPr>
            <w:tcW w:type="dxa" w:w="1080"/>
          </w:tcPr>
          <w:p>
            <w:r/>
            <w:r>
              <w:rPr>
                <w:sz w:val="16"/>
              </w:rPr>
              <w:t>0.489</w:t>
            </w:r>
          </w:p>
        </w:tc>
        <w:tc>
          <w:tcPr>
            <w:tcW w:type="dxa" w:w="1080"/>
          </w:tcPr>
          <w:p>
            <w:r/>
            <w:r>
              <w:rPr>
                <w:sz w:val="16"/>
              </w:rPr>
              <w:t>1/3</w:t>
            </w:r>
          </w:p>
        </w:tc>
      </w:tr>
      <w:tr>
        <w:tc>
          <w:tcPr>
            <w:tcW w:type="dxa" w:w="1080"/>
          </w:tcPr>
          <w:p>
            <w:r/>
            <w:r>
              <w:rPr>
                <w:sz w:val="16"/>
              </w:rPr>
              <w:t>UniFrac pondéré</w:t>
            </w:r>
          </w:p>
        </w:tc>
        <w:tc>
          <w:tcPr>
            <w:tcW w:type="dxa" w:w="1080"/>
          </w:tcPr>
          <w:p>
            <w:r/>
            <w:r>
              <w:rPr>
                <w:sz w:val="16"/>
              </w:rPr>
              <w:t>caudale</w:t>
            </w:r>
          </w:p>
        </w:tc>
        <w:tc>
          <w:tcPr>
            <w:tcW w:type="dxa" w:w="1080"/>
          </w:tcPr>
          <w:p>
            <w:r/>
            <w:r>
              <w:rPr>
                <w:sz w:val="16"/>
              </w:rPr>
              <w:t>0/3</w:t>
            </w:r>
          </w:p>
        </w:tc>
        <w:tc>
          <w:tcPr>
            <w:tcW w:type="dxa" w:w="1080"/>
          </w:tcPr>
          <w:p>
            <w:r/>
            <w:r>
              <w:rPr>
                <w:sz w:val="16"/>
              </w:rPr>
              <w:t>0/3</w:t>
            </w:r>
          </w:p>
        </w:tc>
        <w:tc>
          <w:tcPr>
            <w:tcW w:type="dxa" w:w="1080"/>
          </w:tcPr>
          <w:p>
            <w:r/>
            <w:r>
              <w:rPr>
                <w:sz w:val="16"/>
              </w:rPr>
              <w:t>0.057</w:t>
            </w:r>
          </w:p>
        </w:tc>
        <w:tc>
          <w:tcPr>
            <w:tcW w:type="dxa" w:w="1080"/>
          </w:tcPr>
          <w:p>
            <w:r/>
            <w:r>
              <w:rPr>
                <w:sz w:val="16"/>
              </w:rPr>
              <w:t>0.062</w:t>
            </w:r>
          </w:p>
        </w:tc>
        <w:tc>
          <w:tcPr>
            <w:tcW w:type="dxa" w:w="1080"/>
          </w:tcPr>
          <w:p>
            <w:r/>
            <w:r>
              <w:rPr>
                <w:sz w:val="16"/>
              </w:rPr>
              <w:t>0.054</w:t>
            </w:r>
          </w:p>
        </w:tc>
        <w:tc>
          <w:tcPr>
            <w:tcW w:type="dxa" w:w="1080"/>
          </w:tcPr>
          <w:p>
            <w:r/>
            <w:r>
              <w:rPr>
                <w:sz w:val="16"/>
              </w:rPr>
              <w:t>3/3</w:t>
            </w:r>
          </w:p>
        </w:tc>
      </w:tr>
      <w:tr>
        <w:tc>
          <w:tcPr>
            <w:tcW w:type="dxa" w:w="1080"/>
          </w:tcPr>
          <w:p>
            <w:r/>
            <w:r>
              <w:rPr>
                <w:sz w:val="16"/>
              </w:rPr>
              <w:t>UniFrac pondéré</w:t>
            </w:r>
          </w:p>
        </w:tc>
        <w:tc>
          <w:tcPr>
            <w:tcW w:type="dxa" w:w="1080"/>
          </w:tcPr>
          <w:p>
            <w:r/>
            <w:r>
              <w:rPr>
                <w:sz w:val="16"/>
              </w:rPr>
              <w:t>branchie</w:t>
            </w:r>
          </w:p>
        </w:tc>
        <w:tc>
          <w:tcPr>
            <w:tcW w:type="dxa" w:w="1080"/>
          </w:tcPr>
          <w:p>
            <w:r/>
            <w:r>
              <w:rPr>
                <w:sz w:val="16"/>
              </w:rPr>
              <w:t>0/3</w:t>
            </w:r>
          </w:p>
        </w:tc>
        <w:tc>
          <w:tcPr>
            <w:tcW w:type="dxa" w:w="1080"/>
          </w:tcPr>
          <w:p>
            <w:r/>
            <w:r>
              <w:rPr>
                <w:sz w:val="16"/>
              </w:rPr>
              <w:t>1/9</w:t>
            </w:r>
          </w:p>
        </w:tc>
        <w:tc>
          <w:tcPr>
            <w:tcW w:type="dxa" w:w="1080"/>
          </w:tcPr>
          <w:p>
            <w:r/>
            <w:r>
              <w:rPr>
                <w:sz w:val="16"/>
              </w:rPr>
              <w:t>0.058</w:t>
            </w:r>
          </w:p>
        </w:tc>
        <w:tc>
          <w:tcPr>
            <w:tcW w:type="dxa" w:w="1080"/>
          </w:tcPr>
          <w:p>
            <w:r/>
            <w:r>
              <w:rPr>
                <w:sz w:val="16"/>
              </w:rPr>
              <w:t>0.067</w:t>
            </w:r>
          </w:p>
        </w:tc>
        <w:tc>
          <w:tcPr>
            <w:tcW w:type="dxa" w:w="1080"/>
          </w:tcPr>
          <w:p>
            <w:r/>
            <w:r>
              <w:rPr>
                <w:sz w:val="16"/>
              </w:rPr>
              <w:t>0.063</w:t>
            </w:r>
          </w:p>
        </w:tc>
        <w:tc>
          <w:tcPr>
            <w:tcW w:type="dxa" w:w="1080"/>
          </w:tcPr>
          <w:p>
            <w:r/>
            <w:r>
              <w:rPr>
                <w:sz w:val="16"/>
              </w:rPr>
              <w:t>2/3</w:t>
            </w:r>
          </w:p>
        </w:tc>
      </w:tr>
      <w:tr>
        <w:tc>
          <w:tcPr>
            <w:tcW w:type="dxa" w:w="1080"/>
          </w:tcPr>
          <w:p>
            <w:r/>
            <w:r>
              <w:rPr>
                <w:sz w:val="16"/>
              </w:rPr>
              <w:t>UniFrac pondéré</w:t>
            </w:r>
          </w:p>
        </w:tc>
        <w:tc>
          <w:tcPr>
            <w:tcW w:type="dxa" w:w="1080"/>
          </w:tcPr>
          <w:p>
            <w:r/>
            <w:r>
              <w:rPr>
                <w:sz w:val="16"/>
              </w:rPr>
              <w:t>midgut</w:t>
            </w:r>
          </w:p>
        </w:tc>
        <w:tc>
          <w:tcPr>
            <w:tcW w:type="dxa" w:w="1080"/>
          </w:tcPr>
          <w:p>
            <w:r/>
            <w:r>
              <w:rPr>
                <w:sz w:val="16"/>
              </w:rPr>
              <w:t>0/3</w:t>
            </w:r>
          </w:p>
        </w:tc>
        <w:tc>
          <w:tcPr>
            <w:tcW w:type="dxa" w:w="1080"/>
          </w:tcPr>
          <w:p>
            <w:r/>
            <w:r>
              <w:rPr>
                <w:sz w:val="16"/>
              </w:rPr>
              <w:t>0/6</w:t>
            </w:r>
          </w:p>
        </w:tc>
        <w:tc>
          <w:tcPr>
            <w:tcW w:type="dxa" w:w="1080"/>
          </w:tcPr>
          <w:p>
            <w:r/>
            <w:r>
              <w:rPr>
                <w:sz w:val="16"/>
              </w:rPr>
              <w:t>0.057</w:t>
            </w:r>
          </w:p>
        </w:tc>
        <w:tc>
          <w:tcPr>
            <w:tcW w:type="dxa" w:w="1080"/>
          </w:tcPr>
          <w:p>
            <w:r/>
            <w:r>
              <w:rPr>
                <w:sz w:val="16"/>
              </w:rPr>
              <w:t>0.056</w:t>
            </w:r>
          </w:p>
        </w:tc>
        <w:tc>
          <w:tcPr>
            <w:tcW w:type="dxa" w:w="1080"/>
          </w:tcPr>
          <w:p>
            <w:r/>
            <w:r>
              <w:rPr>
                <w:sz w:val="16"/>
              </w:rPr>
              <w:t>0.066</w:t>
            </w:r>
          </w:p>
        </w:tc>
        <w:tc>
          <w:tcPr>
            <w:tcW w:type="dxa" w:w="1080"/>
          </w:tcPr>
          <w:p>
            <w:r/>
            <w:r>
              <w:rPr>
                <w:sz w:val="16"/>
              </w:rPr>
              <w:t>0/3</w:t>
            </w:r>
          </w:p>
        </w:tc>
      </w:tr>
      <w:tr>
        <w:tc>
          <w:tcPr>
            <w:tcW w:type="dxa" w:w="1080"/>
          </w:tcPr>
          <w:p>
            <w:r/>
            <w:r>
              <w:rPr>
                <w:sz w:val="16"/>
              </w:rPr>
              <w:t>UniFrac pondéré</w:t>
            </w:r>
          </w:p>
        </w:tc>
        <w:tc>
          <w:tcPr>
            <w:tcW w:type="dxa" w:w="1080"/>
          </w:tcPr>
          <w:p>
            <w:r/>
            <w:r>
              <w:rPr>
                <w:sz w:val="16"/>
              </w:rPr>
              <w:t>hindgut</w:t>
            </w:r>
          </w:p>
        </w:tc>
        <w:tc>
          <w:tcPr>
            <w:tcW w:type="dxa" w:w="1080"/>
          </w:tcPr>
          <w:p>
            <w:r/>
            <w:r>
              <w:rPr>
                <w:sz w:val="16"/>
              </w:rPr>
              <w:t>0/3</w:t>
            </w:r>
          </w:p>
        </w:tc>
        <w:tc>
          <w:tcPr>
            <w:tcW w:type="dxa" w:w="1080"/>
          </w:tcPr>
          <w:p>
            <w:r/>
            <w:r>
              <w:rPr>
                <w:sz w:val="16"/>
              </w:rPr>
              <w:t>0/9</w:t>
            </w:r>
          </w:p>
        </w:tc>
        <w:tc>
          <w:tcPr>
            <w:tcW w:type="dxa" w:w="1080"/>
          </w:tcPr>
          <w:p>
            <w:r/>
            <w:r>
              <w:rPr>
                <w:sz w:val="16"/>
              </w:rPr>
              <w:t>0.06</w:t>
            </w:r>
          </w:p>
        </w:tc>
        <w:tc>
          <w:tcPr>
            <w:tcW w:type="dxa" w:w="1080"/>
          </w:tcPr>
          <w:p>
            <w:r/>
            <w:r>
              <w:rPr>
                <w:sz w:val="16"/>
              </w:rPr>
              <w:t>0.05</w:t>
            </w:r>
          </w:p>
        </w:tc>
        <w:tc>
          <w:tcPr>
            <w:tcW w:type="dxa" w:w="1080"/>
          </w:tcPr>
          <w:p>
            <w:r/>
            <w:r>
              <w:rPr>
                <w:sz w:val="16"/>
              </w:rPr>
              <w:t>0.062</w:t>
            </w:r>
          </w:p>
        </w:tc>
        <w:tc>
          <w:tcPr>
            <w:tcW w:type="dxa" w:w="1080"/>
          </w:tcPr>
          <w:p>
            <w:r/>
            <w:r>
              <w:rPr>
                <w:sz w:val="16"/>
              </w:rPr>
              <w:t>0/3</w:t>
            </w:r>
          </w:p>
        </w:tc>
      </w:tr>
    </w:tbl>
    <w:p>
      <w:r>
        <w:rPr>
          <w:i/>
          <w:sz w:val="16"/>
        </w:rPr>
        <w:t>betadisper on the averaged dissimilarity matrices, spatial median, stratified by tissue, each sequencing run analysed separately. Station-blocked: all samples of the stratum, permutations constrained within station. Within-station: the three stations carrying all three categories, analysed separately,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2531495"/>
            <wp:docPr id="3" name="Picture 3"/>
            <wp:cNvGraphicFramePr>
              <a:graphicFrameLocks noChangeAspect="1"/>
            </wp:cNvGraphicFramePr>
            <a:graphic>
              <a:graphicData uri="http://schemas.openxmlformats.org/drawingml/2006/picture">
                <pic:pic>
                  <pic:nvPicPr>
                    <pic:cNvPr id="0" name="vb4f3ad89_fig_permdisp.png"/>
                    <pic:cNvPicPr/>
                  </pic:nvPicPr>
                  <pic:blipFill>
                    <a:blip r:embed="rId11"/>
                    <a:stretch>
                      <a:fillRect/>
                    </a:stretch>
                  </pic:blipFill>
                  <pic:spPr>
                    <a:xfrm>
                      <a:off x="0" y="0"/>
                      <a:ext cx="5852160" cy="2531495"/>
                    </a:xfrm>
                    <a:prstGeom prst="rect"/>
                  </pic:spPr>
                </pic:pic>
              </a:graphicData>
            </a:graphic>
          </wp:inline>
        </w:drawing>
      </w:r>
    </w:p>
    <w:p>
      <w:r>
        <w:rPr>
          <w:i/>
          <w:sz w:val="16"/>
        </w:rPr>
        <w:t>Figure S3. Dispersion by genotypic category. (a) Distance to group centre, expressed as a deviation from the three-category mean within each metric x run so that metrics are comparable; 12 points per category. (b) Direction tally across tests: the transgressive prediction concerns the right-hand bars. (c) Caudal fin: location effect (PERMANOVA) against dispersion heterogeneity (PERMDISP), number of sequencing runs out of three.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