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i w:val="0"/>
        </w:rPr>
        <w:t>Animals and the microbial communities they harbour form composite biological units in which microbial composition contributes to host performance and to tolerance of environmental constraints [1].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accordingly, surveys of wild populations report a predominant environmental component of variation in bacterial composition [6–8].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[9]; in stickleback, a host genetic influence on the gut microbiome became measurable once biological and technical components of variance had been decomposed beforehand [10].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[11]; conversely, hybridisation is a source of genomic diversity and adaptive novelty involved in speciation and in range expansion into enlarged ecological niches [12, 13],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[14]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[15]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[16]; in intrageneric </w:t>
      </w:r>
      <w:r>
        <w:rPr>
          <w:i/>
        </w:rPr>
        <w:t>Takifugu</w:t>
      </w:r>
      <w:r>
        <w:rPr>
          <w:i w:val="0"/>
        </w:rPr>
        <w:t xml:space="preserve"> hybrids, host hybridisation outweighs cohabitation in shaping the gut microbiota [17]; reciprocal hybrids of koi and goldfish resemble one parent rather than the midpoint of the two [18]; and whitefish species pairs with their reciprocal hybrids have been compared in natural and controlled environments [19]. This body of work has been reviewed recently [20]. Studies of natural hybrid zones in other vertebrates, for their part, do not converge. Host ancestry predominates in </w:t>
      </w:r>
      <w:r>
        <w:rPr>
          <w:i/>
        </w:rPr>
        <w:t>Neotoma</w:t>
      </w:r>
      <w:r>
        <w:rPr>
          <w:i w:val="0"/>
        </w:rPr>
        <w:t xml:space="preserve"> woodrats, where habitat determines diet but genotype determines the gut microbiota [21], and in hybridising brown lemurs along a 180 km transect [22]. The opposite conclusion is reached in baboons spanning a hybrid zone, where site soil properties rather than genetic ancestry, relatedness or between-population genetic distance explain the gut microbiota [23], and in wild house mice, where an apparent effect of admixture becomes weak once spatial autocorrelation is taken into account, on two replicates of the same hybrid zone [24]. In hybridising chickadees moved to a common environment, the change of environment affected microbiota richness but not community composition, while a corresponding effect of ancestry on composition was not statistically supported [25]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[26], so that the two distributions have partially overlapped for about a hundred years. Hybridisation has been detected in the patchily distributed sympatric areas of the basin, with an incidence unrelated to habitat characteristics [27–29] — the configuration of a mosaic hybrid zone [30]. Guivier et al. [31]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[9] — and, as a complementary characterisation, as the four-dimensional index of Camper et al. [14],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[31], we expect any hybrid signal to be most pronounced in the digestive compartments, where the two parental species diverge most, rather than uniformly across the four tissues.</w:t>
      </w:r>
    </w:p>
    <w:p>
      <w:pPr/>
      <w:r>
        <w:rPr>
          <w:i/>
          <w:color w:val="888888"/>
          <w:sz w:val="18"/>
        </w:rPr>
        <w:t>[Introduction, draft 1 — points à trancher. (i) Titre provisoire inséré : sous-titre du supplément (JF, 2026-10-03) ; titre définitif en fin d'écriture. Cible Animal Microbiome (JF, 2026-10-03) : la structure Background / Methods / Results / Discussion / Conclusions et la section Declarations restent à mettre en place.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r>
        <w:rPr>
          <w:i/>
          <w:color w:val="888888"/>
          <w:sz w:val="18"/>
        </w:rPr>
        <w:t xml:space="preserve"> [2026-10-03, soir : structure Animal Microbiome en place (Abstract, Background, Methods, Results, Discussion, Conclusions, Declarations, References numérotées, légendes) ; méthodes 4H au §8.11.]</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each fish was euthanised by cervical dislocation and immediately dissected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and under national protocol authorisations n° 2014-156-0001 and n° 2015-1426DDT605.</w:t>
      </w:r>
    </w:p>
    <w:p>
      <w:r>
        <w:rPr>
          <w:i/>
          <w:color w:val="888888"/>
          <w:sz w:val="18"/>
        </w:rPr>
        <w:t>[À confirmer par André — questions de suivi envoyées le 2026-10-03. (1) Autorisations : André confirme les deux numéros et indique une approbation par l'ONEMA et les DDT des Alpes-de-Haute-Provence, des Hautes-Alpes et du Vaucluse ; or les stations du Suran (Ain) et de l'Ardèche (Saint-Just-d'Ardèche, Rosières) sont hors de ces départements. Remplacer « national protocol authorisations » une fois la couverture établie. (2) Euthanasie par dislocation cervicale juste avant la dissection de chaque poisson : non confirmée explicitement. La séquence pêche → vivier → dissection, les durées et l'ordre de traitement viennent d'André (2026-10-03 ; hotus en priorité : 2026-09-25).]</w:t>
      </w:r>
    </w:p>
    <w:p>
      <w:r/>
      <w:r>
        <w:rPr>
          <w:i w:val="0"/>
          <w:color w:val="1F4E79"/>
        </w:rPr>
        <w:t>Stations, rivers, WGS84 coordinates, collection dates, years of sampling, genotypic composition and the number of individuals and libraries per station are given in Supplementary Table S</w:t>
      </w:r>
      <w:r>
        <w:rPr>
          <w:i w:val="0"/>
          <w:color w:val="1F4E79"/>
        </w:rPr>
        <w:t>1</w:t>
      </w:r>
      <w:r>
        <w:rPr>
          <w:i w:val="0"/>
          <w:color w:val="1F4E79"/>
        </w:rPr>
        <w:t>. Coordinates and collection dates are field records supplied by the collecting team; an earlier version of this dataset carried coordinates extrapolated from commune names, which have been replaced (see the note to Table S</w:t>
      </w:r>
      <w:r>
        <w:rPr>
          <w:i w:val="0"/>
          <w:color w:val="1F4E79"/>
        </w:rPr>
        <w:t>1</w:t>
      </w:r>
      <w:r>
        <w:rPr>
          <w:i w:val="0"/>
          <w:color w:val="1F4E79"/>
        </w:rPr>
        <w:t>).</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w:t>
      </w:r>
      <w:r>
        <w:rPr>
          <w:i w:val="0"/>
          <w:color w:val="1F4E79"/>
        </w:rPr>
        <w:t xml:space="preserve"> Individual genotypes, with the tissue on which each was obtained, are given in Supplementary Table S</w:t>
      </w:r>
      <w:r>
        <w:rPr>
          <w:i w:val="0"/>
          <w:color w:val="1F4E79"/>
        </w:rPr>
        <w:t>2</w:t>
      </w:r>
      <w:r>
        <w:rPr>
          <w:i w:val="0"/>
          <w:color w:val="1F4E79"/>
        </w:rPr>
        <w:t>.</w:t>
      </w:r>
      <w:r>
        <w:rPr>
          <w:i w:val="0"/>
          <w:color w:val="1F4E79"/>
        </w:rPr>
        <w:t xml:space="preserv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a lobe of the caudal fin (code 01), the gill (05), the hindgut (03) and the midgut (02), dissected in that order. Each tissue was cut in two and placed in two 1.5 mL tubes: one half was stored in 95% ethanol at −80 °C for microbiota analysis, the other was frozen at −80 °C for transcriptome analyses, including genotyping.</w:t>
      </w:r>
      <w:r>
        <w:rPr>
          <w:b w:val="0"/>
          <w:i w:val="0"/>
        </w:rPr>
        <w:t xml:space="preserve"> Nine tissues were re-extracted independently (flagged ‘bis’) and are treated as technical replicates.</w:t>
      </w:r>
    </w:p>
    <w:p>
      <w:r>
        <w:rPr>
          <w:i/>
          <w:color w:val="888888"/>
          <w:sz w:val="18"/>
        </w:rPr>
        <w:t>[À confirmer par André — question de suivi envoyée le 2026-10-03 : température de conservation du tube en éthanol 95 % destiné au microbiote (−80 °C dans Guivier et al. 2017 ; non précisée dans sa réponse). Tissu 01 = lobe de nageoire caudale, ordre de dissection et partage de chaque tissu en deux tubes : André, 2026-10-03.]</w:t>
      </w:r>
    </w:p>
    <w:p>
      <w:pPr>
        <w:pStyle w:val="Heading1"/>
      </w:pPr>
      <w:r>
        <w:t>3. DNA extraction, 16S library preparation and sequencing</w:t>
      </w:r>
    </w:p>
    <w:p>
      <w:r>
        <w:rPr>
          <w:b w:val="0"/>
          <w:i w:val="0"/>
        </w:rPr>
        <w:t xml:space="preserve">Bacterial DNA was extracted from each tissue with the Qiagen Food Mericon kit (Qiagen, Venlo, Netherlands), following a slightly modified protocol detailed in </w:t>
      </w:r>
      <w:r>
        <w:rPr>
          <w:b w:val="0"/>
          <w:i w:val="0"/>
          <w:color w:val="1F4E79"/>
        </w:rPr>
        <w:t>Guivier et al. [31]</w:t>
      </w:r>
      <w:r>
        <w:rPr>
          <w:b w:val="0"/>
          <w:i w:val="0"/>
        </w:rPr>
        <w:t>.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val="0"/>
          <w:color w:val="1F4E79"/>
        </w:rPr>
        <w:t>Libraries were sequenced on an Illumina MiSeq on 10 July 2017 (durance1), 5 October 2017 (durance2) and 3 November 2017 (durance3), with a 10 % PhiX spike-in. PCR conditions, purification and pooling followed Galan et al. [33].</w:t>
      </w:r>
      <w:r>
        <w:t xml:space="preserve"> Run labels, flow cells, dates and the mapping of runs to library preparations are given in Supplementary Table S</w:t>
      </w:r>
      <w:r>
        <w:rPr>
          <w:color w:val="1F4E79"/>
        </w:rPr>
        <w:t>3</w:t>
      </w:r>
      <w:r>
        <w:t>.</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w:t>
      </w:r>
      <w:r>
        <w:rPr>
          <w:color w:val="1F4E79"/>
        </w:rPr>
        <w:t>4</w:t>
      </w:r>
      <w:r>
        <w:t>.</w:t>
      </w:r>
    </w:p>
    <w:p>
      <w:pPr>
        <w:pStyle w:val="Heading1"/>
      </w:pPr>
      <w:r>
        <w:t>5. Sequence processing overview</w:t>
      </w:r>
    </w:p>
    <w:p>
      <w:r>
        <w:rPr>
          <w:b w:val="0"/>
          <w:i w:val="0"/>
        </w:rPr>
        <w:t xml:space="preserve">Reads were processed with a custom, version-controlled pipeline (git-tracked; each parameter justified in the script headers). The three runs were processed separately through denoising and merged thereafter. Software versions: </w:t>
      </w:r>
      <w:r>
        <w:rPr>
          <w:b w:val="0"/>
          <w:i w:val="0"/>
          <w:color w:val="1F4E79"/>
        </w:rPr>
        <w:t>cutadapt 5.0 [34];</w:t>
      </w:r>
      <w:r>
        <w:rPr>
          <w:b w:val="0"/>
          <w:i w:val="0"/>
        </w:rPr>
        <w:t xml:space="preserve"> R 4.5.3 with </w:t>
      </w:r>
      <w:r>
        <w:rPr>
          <w:b w:val="0"/>
          <w:i w:val="0"/>
          <w:color w:val="1F4E79"/>
        </w:rPr>
        <w:t>DADA2 1.38.0 [35];</w:t>
      </w:r>
      <w:r>
        <w:rPr>
          <w:b w:val="0"/>
          <w:i w:val="0"/>
        </w:rPr>
        <w:t xml:space="preserve"> </w:t>
      </w:r>
      <w:r>
        <w:rPr>
          <w:b w:val="0"/>
          <w:i w:val="0"/>
          <w:color w:val="1F4E79"/>
        </w:rPr>
        <w:t>SILVA reference v138.2 [36]</w:t>
      </w:r>
      <w:r>
        <w:rPr>
          <w:b w:val="0"/>
          <w:i w:val="0"/>
        </w:rPr>
        <w:t xml:space="preserve">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 xml:space="preserve">A de novo phylogeny was built from the ASV sequences with </w:t>
      </w:r>
      <w:r>
        <w:rPr>
          <w:b w:val="0"/>
          <w:i w:val="0"/>
          <w:color w:val="1F4E79"/>
        </w:rPr>
        <w:t>QIIME 2 [38]</w:t>
      </w:r>
      <w:r>
        <w:rPr>
          <w:b w:val="0"/>
          <w:i w:val="0"/>
        </w:rPr>
        <w:t xml:space="preserve"> (align-to-tree-mafft-fasttree): multiple alignment with </w:t>
      </w:r>
      <w:r>
        <w:rPr>
          <w:b w:val="0"/>
          <w:i w:val="0"/>
          <w:color w:val="1F4E79"/>
        </w:rPr>
        <w:t>MAFFT [39],</w:t>
      </w:r>
      <w:r>
        <w:rPr>
          <w:b w:val="0"/>
          <w:i w:val="0"/>
        </w:rPr>
        <w:t xml:space="preserve"> masking of highly variable positions, tree inference with </w:t>
      </w:r>
      <w:r>
        <w:rPr>
          <w:b w:val="0"/>
          <w:i w:val="0"/>
          <w:color w:val="1F4E79"/>
        </w:rPr>
        <w:t>FastTree 2 [40],</w:t>
      </w:r>
      <w:r>
        <w:rPr>
          <w:b w:val="0"/>
          <w:i w:val="0"/>
        </w:rPr>
        <w:t xml:space="preserve"> and midpoint rooting. Fragment insertion into a reference backbone (SEPP) was not used because the ASVs are near-complete V4 amplicons (~251 bp) for which de novo alignment is appropriate. The resulting rooted tree covers all ASVs of the analysis table and supports </w:t>
      </w:r>
      <w:r>
        <w:rPr>
          <w:b w:val="0"/>
          <w:i w:val="0"/>
          <w:color w:val="1F4E79"/>
        </w:rPr>
        <w:t>UniFrac distances [41] and Faith's phylogenetic diversity [42]</w:t>
      </w:r>
      <w:r>
        <w:rPr>
          <w:b w:val="0"/>
          <w:i w:val="0"/>
        </w:rPr>
        <w:t>.</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 xml:space="preserve">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w:t>
      </w:r>
      <w:r>
        <w:rPr>
          <w:i w:val="0"/>
          <w:color w:val="1F4E79"/>
        </w:rPr>
        <w:t>Results</w:t>
      </w:r>
      <w:r>
        <w:rPr>
          <w:i w:val="0"/>
        </w:rPr>
        <w:t>,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w:t>
      </w:r>
      <w:r>
        <w:rPr>
          <w:i w:val="0"/>
          <w:color w:val="1F4E79"/>
        </w:rPr>
        <w:t>Results</w:t>
      </w:r>
      <w:r>
        <w:rPr>
          <w:i w:val="0"/>
        </w:rPr>
        <w:t>).</w:t>
      </w:r>
      <w:r>
        <w:rPr>
          <w:color w:val="1F4E79"/>
        </w:rPr>
        <w:t xml:space="preserve"> Convergence values are given in Supplementary Table S</w:t>
      </w:r>
      <w:r>
        <w:rPr>
          <w:color w:val="1F4E79"/>
        </w:rPr>
        <w:t>5</w:t>
      </w:r>
      <w:r>
        <w:rPr>
          <w:color w:val="1F4E79"/>
        </w:rPr>
        <w:t>.</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b w:val="0"/>
          <w:i w:val="0"/>
          <w:color w:val="1F4E79"/>
        </w:rPr>
        <w:t>in the caudal fin, in sequencing run durance1, 50 % of intermediate hybrids</w:t>
      </w:r>
      <w:r>
        <w:rPr>
          <w:b w:val="0"/>
          <w:i w:val="0"/>
          <w:color w:val="1F4E79"/>
        </w:rPr>
        <w:t xml:space="preserve">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w:t>
      </w:r>
      <w:r>
        <w:rPr>
          <w:b w:val="0"/>
          <w:i w:val="0"/>
          <w:color w:val="1F4E79"/>
        </w:rPr>
        <w:t>6</w:t>
      </w:r>
      <w:r>
        <w:rPr>
          <w:b w:val="0"/>
          <w:i w:val="0"/>
          <w:color w:val="1F4E79"/>
        </w:rPr>
        <w:t xml:space="preserve"> and Figure S1.</w:t>
      </w:r>
      <w:r>
        <w:rPr>
          <w:color w:val="1F4E79"/>
        </w:rPr>
      </w:r>
      <w:r>
        <w:rPr>
          <w:i/>
          <w:color w:val="888888"/>
          <w:sz w:val="18"/>
        </w:rPr>
        <w:t xml:space="preserve"> [Écarts de rétention : valeurs du run durance1 (scripts/43-retention_profondeur.py, results/depth_agreement/retention_par_categorie.tsv, 2026-10-05) ; aucun script ne les produisait auparavant. Sur les trois runs : caudale à 3 000 lectures 29,0–36,4 points (passe 1) et 14,7–19,8 (passe 2) ; à 500 lectures 2,6–3,8 et 3,4–5,7 ; midgut à 500 lectures 5,7–14,0 et 7,8–8,9 (runs confondus : 32,3 / 17,2 ; 3,4 / 4,5 ; 8,5 / 8,2). Le midgut de la passe 1 dépend du run (14,0 dans durance1, 5,7 dans les deux autres). Rapporter la valeur d'un run ou l'étendue : à trancher par JF.]</w:t>
      </w:r>
    </w:p>
    <w:p>
      <w:pPr>
        <w:pStyle w:val="Heading2"/>
      </w:pPr>
      <w:r>
        <w:rPr>
          <w:color w:val="1F4E79"/>
        </w:rPr>
        <w:t>8.7 Statistical framework</w:t>
      </w:r>
    </w:p>
    <w:p>
      <w:pPr/>
      <w:r>
        <w:rPr>
          <w:i/>
          <w:color w:val="888888"/>
          <w:sz w:val="18"/>
        </w:rPr>
      </w:r>
      <w:r>
        <w:rPr>
          <w:b w:val="0"/>
          <w:i w:val="0"/>
          <w:color w:val="1F4E79"/>
        </w:rPr>
        <w:t xml:space="preserve">Community composition is analysed </w:t>
      </w:r>
      <w:r>
        <w:rPr>
          <w:b w:val="0"/>
          <w:i w:val="0"/>
          <w:color w:val="1F4E79"/>
        </w:rPr>
        <w:t>by PERMANOVA [45] on</w:t>
      </w:r>
      <w:r>
        <w:rPr>
          <w:b w:val="0"/>
          <w:i w:val="0"/>
          <w:color w:val="1F4E79"/>
        </w:rPr>
        <w:t xml:space="preserve">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w:t>
      </w:r>
      <w:r>
        <w:rPr>
          <w:b w:val="0"/>
          <w:i w:val="0"/>
          <w:color w:val="1F4E79"/>
        </w:rPr>
        <w:t>§8.8</w:t>
      </w:r>
      <w:r>
        <w:rPr>
          <w:b w:val="0"/>
          <w:i w:val="0"/>
          <w:color w:val="1F4E79"/>
        </w:rPr>
        <w:t>). Every analysis of genotypic category is run in the two passes defined in §1. Plate column is not entered in the principal models, which report patterns co-varying with station and category without separating them; because its effect on composition is real (</w:t>
      </w:r>
      <w:r>
        <w:rPr>
          <w:b w:val="0"/>
          <w:i w:val="0"/>
          <w:color w:val="1F4E79"/>
        </w:rPr>
        <w:t>§8.9; Results</w:t>
      </w:r>
      <w:r>
        <w:rPr>
          <w:b w:val="0"/>
          <w:i w:val="0"/>
          <w:color w:val="1F4E79"/>
        </w:rPr>
        <w:t>), every model testing category is also fitted with plate column as a covariate and reported as a sensitivity analysis. Because genotypic category, station and plate position are mutually entangled (</w:t>
      </w:r>
      <w:r>
        <w:rPr>
          <w:b w:val="0"/>
          <w:i w:val="0"/>
          <w:color w:val="1F4E79"/>
        </w:rPr>
        <w:t>Results</w:t>
      </w:r>
      <w:r>
        <w:rPr>
          <w:b w:val="0"/>
          <w:i w:val="0"/>
          <w:color w:val="1F4E79"/>
        </w:rPr>
        <w:t xml:space="preserve">),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t>
      </w:r>
      <w:r>
        <w:rPr>
          <w:b w:val="0"/>
          <w:i w:val="0"/>
          <w:color w:val="1F4E79"/>
        </w:rPr>
        <w:t>with PERMDISP [46],</w:t>
      </w:r>
      <w:r>
        <w:rPr>
          <w:b w:val="0"/>
          <w:i w:val="0"/>
          <w:color w:val="1F4E79"/>
        </w:rPr>
        <w:t xml:space="preserve"> since the transgressive hypothesis concerns the variability of hybrid microbiota and not only the position of its centroid, and since PERMANOVA is itself sensitive to heterogeneous dispersion. </w:t>
      </w:r>
      <w:r>
        <w:rPr>
          <w:b w:val="0"/>
          <w:i w:val="0"/>
          <w:color w:val="1F4E79"/>
        </w:rPr>
        <w:t>Every claim is reported per metric and per tissue. Four dissimilarities are carried throughout — Bray–Curtis, Jaccard, unweighted and weighted UniFrac — together with four alpha indices: observed richness, Shannon, inverse Simpson and Faith's phylogenetic diversity. Because resequencing one library recovers only 48 % of the ASVs present at 1–3 reads (</w:t>
      </w:r>
      <w:r>
        <w:rPr>
          <w:b w:val="0"/>
          <w:i w:val="0"/>
          <w:color w:val="1F4E79"/>
        </w:rPr>
        <w:t>Results</w:t>
      </w:r>
      <w:r>
        <w:rPr>
          <w:b w:val="0"/>
          <w:i w:val="0"/>
          <w:color w:val="1F4E79"/>
        </w:rPr>
        <w:t>), presence-based metrics are not treated as sufficient on their own: a result is stated as established only where at least one abundance-weighted and one presence-based metric support it, and is otherwise reported as metric-dependent with the supporting metrics named. Figures quoted in running text use Shannon for alpha diversity and Bray–Curtis for composition, both abundance-weighted, with the remaining metrics reported alongside rather than relegated. Weighting is not the operative axis for composition: Bray–Curtis, though abundance-weighted, patterns with the two presence-based dissimilarities on both category and dispersion, whereas weighted UniFrac stands apart, so the rule is applied metric by metric rather than by weighting class. The choice of a differential-abundance method remains to be fixed.</w:t>
      </w:r>
      <w:r>
        <w:rPr>
          <w:color w:val="1F4E79"/>
        </w:rPr>
        <w:t xml:space="preserve"> PERMANOVA (adonis2) and PERMDISP (betadisper) were run with vegan 2.7-5 [47].</w:t>
      </w:r>
      <w:r>
        <w:rPr>
          <w:color w:val="1F4E79"/>
        </w:rPr>
        <w:t xml:space="preserve"> Distances to group medians in PERMDISP were corrected for small-sample bias (bias.adjust = TRUE [48]), hybrids being the smallest category in every stratum.</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rarefied indices (observed richness, Shannon, inverse Simpson and Faith's phylogenetic diversity), analysed on the log scale, every analysis being run on the four indices. First, the contrasts between external (caudal fin, gill) and internal (midgut, hindgut) compartments, and between midgut and hindgut, were tested within individual by a paired t-test on log values, with the Wilcoxon signed-rank test reported alongside, and expressed as ratios of geometric means with 95 % confidence intervals. Second, the variance of log alpha diversity over the 1,784 rarefied samples was partitioned by a linear model with tissue, site-year, individual, library preparation and sequencing run; sequential and marginal shares of the sum of squares are reported, nested terms having no marginal share of their own. Third, the effect of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and as transgressive when their estimate lay beyond the parental range with an interval excluding the nearer parent. When no criterion or more than one was met, the class is reported as undetermined. This rule, and the three tests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separately.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ASV counts were aggregated to genus; 48.6 % of ASVs, carrying 64.1 % of reads, were assigned to a genus (family: 77.9 % and 90.6 %), and unassigned ASVs were excluded. Because the package rarefies the aggregated table, samples were required to carry at least 1,000 genus-assigned reads (1,749 of the 1,784 rarefied samples) and were rarefied to that depth at each of 500 bootstraps; on the published natural hybrid system the parental axis varies by at most 0.067 between 1,000 and 10,000 reads [14]. Each bootstrap drew without replacement the same number of hosts N from each class, N being one less than the smallest class of pass 1 in the stratum (9 in the caudal fin, 10–19 elsewhere), and the same N was applied to pass 2 so that the two passes are compared on equal footing; pass 2 was also computed at its own N. An abundance-based version of the index (inspired by Bray–Curtis), the pre-analysis of core fractions, the null plane and a null hybrid model averaging one randomly drawn individual of each parental species were computed with the same settings. The index is reported along its parental (Union + Intersection) and transgressive (Gain + Loss) axes. An axis was called dominant when it exceeded 0.5 in all three runs, and robust when the same axis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 Following the framework's own statement of scope, the index is read as a pattern of taxon membership, not as evidence of an assembly process.</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i w:val="0"/>
        </w:rPr>
        <w:t xml:space="preserve">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w:t>
      </w:r>
      <w:r>
        <w:rPr>
          <w:i w:val="0"/>
          <w:color w:val="1F4E79"/>
        </w:rPr>
        <w:t>§8.8</w:t>
      </w:r>
      <w:r>
        <w:rPr>
          <w:i w:val="0"/>
        </w:rPr>
        <w:t xml:space="preserve">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w:t>
      </w:r>
      <w:r>
        <w:rPr>
          <w:i w:val="0"/>
          <w:color w:val="1F4E79"/>
        </w:rPr>
        <w:t>7</w:t>
      </w:r>
      <w:r>
        <w:rPr>
          <w:i w:val="0"/>
        </w:rPr>
        <w:t>.</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w:t>
      </w:r>
      <w:r>
        <w:rPr>
          <w:i w:val="0"/>
        </w:rPr>
        <w:t>1</w:t>
      </w:r>
      <w:r>
        <w:rPr>
          <w:i w:val="0"/>
        </w:rPr>
        <w:t>.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w:t>
      </w:r>
      <w:r>
        <w:rPr>
          <w:color w:val="1F4E79"/>
        </w:rPr>
        <w:t>3</w:t>
      </w:r>
      <w:r>
        <w:t xml:space="preserve">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w:t>
      </w:r>
      <w:r>
        <w:rPr>
          <w:b w:val="0"/>
          <w:i w:val="0"/>
          <w:color w:val="1F4E79"/>
        </w:rPr>
        <w:t>§8.7</w:t>
      </w:r>
      <w:r>
        <w:rPr>
          <w:b w:val="0"/>
          <w:i w:val="0"/>
          <w:color w:val="1F4E79"/>
        </w:rPr>
        <w:t xml:space="preserve">), but every model testing category is also reported with plate column as a covariate, and the two versions are </w:t>
      </w:r>
      <w:r>
        <w:rPr>
          <w:b w:val="0"/>
          <w:i w:val="0"/>
          <w:color w:val="1F4E79"/>
        </w:rPr>
        <w:t>compared below</w:t>
      </w:r>
      <w:r>
        <w:rPr>
          <w:b w:val="0"/>
          <w:i w:val="0"/>
          <w:color w:val="1F4E79"/>
        </w:rPr>
        <w:t>.</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p>
    <w:p>
      <w:pPr/>
      <w:r>
        <w:rPr>
          <w:i/>
          <w:color w:val="888888"/>
          <w:sz w:val="18"/>
        </w:rPr>
        <w:t>[À reformuler après l'arbitrage D2 de JF : « the delay between capture and dissection » ne correspond plus au protocole. Les poissons sont gardés vivants en vivier jusqu'à la dissection, 4–6 min par poisson (André, 2026-10-03) ; le confondant est la durée de séjour en vivier, c'est-à-dire l'ordre de traitement. Dans chaque campagne, la colonne suit cet ordre, et le test du 2026-10-03 ne peut pas séparer les deux (RESULTATS R32, docs/recalcul/note_tests_2026-10-03.md).]</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[Non testé : C. nasus étant en général traité en premier (§1), le classement « dominant Cn » pourrait refléter l'ordre de traitement (RESULTATS R31). Le contraste femelles/mâles (R27) n'est pas rapporté tant que le code de sexe « X » n'est pas confirmé.]</w:t>
      </w:r>
    </w:p>
    <w:p>
      <w:pPr>
        <w:pStyle w:val="Heading1"/>
      </w:pPr>
      <w:r>
        <w:rPr>
          <w:color w:val="1F4E79"/>
        </w:rPr>
        <w:t>Composition by genotypic category</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 xml:space="preserve">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w:t>
      </w:r>
      <w:r>
        <w:rPr>
          <w:i w:val="0"/>
          <w:color w:val="1F4E79"/>
        </w:rPr>
        <w:t>an attenuation that is not an effect of depth: restricted to the samples retained at 3,000 reads, the 500-read matrices give the same result as at 3,000 reads (all three runs, both station-blocked schemes, p = 0.010–0.026), so the signal is diluted by the caudal-fin samples that pass the threshold only at 500 reads. As at 3,000 reads, none of twenty random removals of 22 non-introgressed individuals from pass 2 reproduced the pass-1 pattern at 500 reads.</w:t>
      </w:r>
      <w:r>
        <w:rPr>
          <w:i w:val="0"/>
        </w:rPr>
        <w:t xml:space="preserve">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w:t>
      </w:r>
      <w:r>
        <w:rPr>
          <w:i w:val="0"/>
        </w:rPr>
        <w:t>9</w:t>
      </w:r>
      <w:r>
        <w:rPr>
          <w:i w:val="0"/>
        </w:rPr>
        <w:t>.</w:t>
      </w:r>
    </w:p>
    <w:p>
      <w:pPr/>
      <w:r>
        <w:rPr>
          <w:color w:val="1F4E79"/>
        </w:rPr>
        <w:t>Figure 3 summarises these detections in the principal model with permutations constrained within station blocks (Fig. 3a, b), and the variance shares on which they rest (Fig. 3c). Fitted before category, station accounted for a median of 20.9 % (pass 1) and 20.1 % (pass 2) of compositional variance; category accounted for 2.8 % and 3.0 % when fitted first and 1.7 % and 1.4 % when fitted last. 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[Le paragraphe précédent vient des Methods (ancien §8.9) : « not as a result of it » est à reformuler maintenant qu'il figure en Results. Les médianes de station de ce paragraphe (19 % et 18 %) sont celles de la station servie après la catégorie ; 20,9 % et 20,1 % ci-dessus, station servie en premier.]</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This bears on how the location results are read, because PERMANOVA is sensitive to heterogeneous dispersion. With station fixed by blocks, dispersion in the caudal fin was homogeneous on all four metrics in pass 2 and in all but one test in pass 1 (weighted UniFrac, one run of three, p = 0.048, hybrids most dispersed):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detected on those metrics in those compartments cannot be separated from a dispersion effect. One reservation is not resolved: betadisper accepts no covariate, so the plate-position effect (§8.9) is not adjusted for, and a category whose samples are more spread across plate columns could carry inflated dispersion. Supplementary Table S</w:t>
      </w:r>
      <w:r>
        <w:rPr>
          <w:color w:val="1F4E79"/>
        </w:rPr>
        <w:t>10</w:t>
      </w:r>
      <w:r>
        <w:rPr>
          <w:color w:val="1F4E79"/>
        </w:rPr>
        <w:t xml:space="preserve">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Hybrids were transgressive in none of 32 alpha-diversity tests, </w:t>
      </w:r>
      <w:r>
        <w:rPr>
          <w:color w:val="1F4E79"/>
        </w:rPr>
        <w:t>were more dispersed than both parents no more often than expected by chance,</w:t>
      </w:r>
      <w:r>
        <w:rPr>
          <w:color w:val="1F4E79"/>
        </w:rPr>
        <w:t xml:space="preserve"> and no transgressive reading of the 4H index survived the robustness rule declared before computation.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and that its detection required separating the spatial and technical axes beforehand, as in stickleback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The rule adopted here, which states a result as established only when an abundance-weighted and a presence-based metric both support it, makes this dependence explicit rather than resolving it; it also explains why the 4H index, a presence-based construct in its principal form, departed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twenty random removals of 22 non-introgressed fish never reproduced the displacement, so that it is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reporting both passes shows how much of any conclusion rests on that decision, and we suggest that studies of natural hybrid zones report it in the same way.</w:t>
      </w:r>
    </w:p>
    <w:p>
      <w:pPr/>
      <w:r>
        <w:rPr>
          <w:color w:val="1F4E79"/>
        </w:rPr>
        <w:t>That hybrids were not more dispersed than their parents runs against the expectation that the microbiota of hybrids is more variable because their genomes combine parental elements in variable proportions. The opposite tendency, hybrids less dispersed than both parents, was clear only in pass 2 with station fixed by blocks, absent within stations and carried mainly by Bray–Curtis, and should not be read as a general property of hybrids here. The dispersion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that the location and dispersion analyses do not.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on a hybrid lizard, transgression has been associated with ecological success rather than with dysbiosis [15], so the absence of transgression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and not as an independent test of the intermediate, dominant and transgressive hypotheses.</w:t>
      </w:r>
    </w:p>
    <w:p>
      <w:pPr/>
      <w:r>
        <w:rPr>
          <w:color w:val="1F4E79"/>
        </w:rPr>
        <w:t xml:space="preserve">Four limits bound these conclusions. Genotypic category is confounded with station, and the three stations that carry all three categories hold 65–74 individuals, so that every category effect is estimated mostly between stations and is read as a pattern co-varying with station and category. Plate position affected composition and followed processing order in every campaign; the mechanism — extraction order, reagent drift within a plate, cross-contamination between adjacent wells or time spent in the holding tank — is not identified, and because </w:t>
      </w:r>
      <w:r>
        <w:rPr>
          <w:i/>
          <w:color w:val="1F4E79"/>
        </w:rPr>
        <w:t>C. nasus</w:t>
      </w:r>
      <w:r>
        <w:rPr>
          <w:color w:val="1F4E79"/>
        </w:rPr>
        <w:t xml:space="preserve"> was generally processed first it could contribute to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t>Fish were captured by electrofishing and euthanised before dissection under authorisations n° 2014-156-0001 and n° 2015-1426DDT605, following international guidelines of animal care.</w:t>
      </w:r>
      <w:r>
        <w:rPr>
          <w:i/>
          <w:color w:val="888888"/>
          <w:sz w:val="18"/>
        </w:rPr>
        <w:t xml:space="preserve"> [À compléter (questions de suivi à André, 2026-10-03) : autorités de délivrance — ONEMA et DDT 04, 05 et 84 selon André — et couverture des stations de l'Ain et de l'Ardèche ; méthode d'euthanasie (dislocation cervicale, non confirmée).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This work was funded by Électricité de France (EDF) through an EDF–CNRS doctoral contract (AGDI 428481) financing the thesis of Arnaud Ungaro, the contract that also funded Guivier et al. [31] within the FACIES project, with the support of the Fédération de l'Ain pour la pêche et la protection des milieux aquatiques.</w:t>
      </w:r>
    </w:p>
    <w:p>
      <w:pPr/>
      <w:r>
        <w:rPr>
          <w:i/>
          <w:color w:val="888888"/>
          <w:sz w:val="18"/>
        </w:rPr>
        <w:t>[Financement : référence du contrat « EDF-CNRS AGDI 428481 » (André, 2026-10-03). Le rattachement de ce contrat de thèse au projet FACIES de Guivier et al. (2017) combine deux réponses d'André (2026-09-30 et 2026-10-03) et n'est pas confirmé explicitement — à vérifier. Section Acknowledgements : à rédiger en fin de manuscrit (André, 2026-10-03).]</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