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draft 1 — points à trancher. (i) Titre provisoire inséré : sous-titre du supplément (JF, 2026-10-03) ; titre définitif en fin d'écriture. Cible Animal Microbiome (JF, 2026-10-03) : la structure Background / Methods / Results / Discussion / Conclusions et la section Declarations restent à mettre en place.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 traitement de la position de plaque (D2) sont alignés sur le §1 et le §8.6 (2026-09-25). Les paramètres a priori du 4H sont fixés par la décision D5 du 2026-09-25 : ρ = 0,5 au rang du genre, sensibilité rapportée sur ρ ∈ {0,3 ; 0,5 ; 0,7}, ϑ = ε = 0. Ce qui manque est leur description au §8.6, à écrire en même temps que le calcul 4H. (v) Vérifié sur genotypes_verifies_sept_180.csv, colonne n_chromosomes_introgresses : parmi les 22 quasi-purs, 17 sont introgressés sur un seul chromosome, 4 sur deux et 1 sur six. Le §1 et l'introduction portent désormais ces chiffres.]</w:t>
      </w:r>
      <w:r>
        <w:rPr>
          <w:i/>
          <w:color w:val="888888"/>
          <w:sz w:val="18"/>
        </w:rPr>
        <w:t xml:space="preserve"> [2026-10-03, soir : structure Animal Microbiome en place (Abstract, Background, Methods, Results, Discussion, Conclusions, Declarations, References numérotées, légendes) ; méthodes 4H au §8.11.]</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each fish was euthanised by cervical dislocation and immediately dissected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and under national protocol authorisations n° 2014-156-0001 and n° 2015-1426DDT605.</w:t>
      </w:r>
    </w:p>
    <w:p>
      <w:r>
        <w:rPr>
          <w:i/>
          <w:color w:val="888888"/>
          <w:sz w:val="18"/>
        </w:rPr>
        <w:t>[À confirmer par André — questions de suivi envoyées le 2026-10-03. (1) Autorisations : André confirme les deux numéros et indique une approbation par l'ONEMA et les DDT des Alpes-de-Haute-Provence, des Hautes-Alpes et du Vaucluse ; or les stations du Suran (Ain) et de l'Ardèche (Saint-Just-d'Ardèche, Rosières) sont hors de ces départements. Remplacer « national protocol authorisations » une fois la couverture établie. (2) Euthanasie par dislocation cervicale juste avant la dissection de chaque poisson : non confirmée explicitement.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a lobe of the caudal fin (code 01), the gill (05), the hindgut (03) and the midgut (02), dissected in that order. Each tissue was cut in two and placed in two 1.5 mL tubes: one half was stored in 95% ethanol at −80 °C for microbiota analysis, the other was frozen at −80 °C for transcriptome analyses, including genotyping.</w:t>
      </w:r>
      <w:r>
        <w:rPr>
          <w:b w:val="0"/>
          <w:i w:val="0"/>
        </w:rPr>
        <w:t xml:space="preserve"> Nine tissues were re-extracted independently (flagged ‘bis’) and are treated as technical replicates.</w:t>
      </w:r>
    </w:p>
    <w:p>
      <w:r>
        <w:rPr>
          <w:i/>
          <w:color w:val="888888"/>
          <w:sz w:val="18"/>
        </w:rPr>
        <w:t>[À confirmer par André — question de suivi envoyée le 2026-10-03 : température de conservation du tube en éthanol 95 % destiné au microbiote (−80 °C dans Guivier et al. 2017 ; non précisée dans sa réponse). Tissu 01 = lobe de nageoire caudale, ordre de dissection et partage de chaque tissu en deux tubes : André, 2026-10-03.]</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Reads were processed with a version-controlled pipeline (cutadapt 5.0 [34]; R 4.5.3 with DADA2 1.38.0 [35]; SILVA v138.2 [36]; BLAST+ 2.13.0; FastQC and MultiQC), each run being processed separately through denoising. The 16S V4 primers co-amplify the host mitochondrial 12S rRNA gene (15–67% of reads per sample);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w:t>
      </w:r>
      <w:r>
        <w:rPr>
          <w:color w:val="1F4E79"/>
        </w:rPr>
        <w:t>in the caudal fin, in sequencing run durance1, 50 % of intermediate hybrids</w:t>
      </w:r>
      <w:r>
        <w:rPr>
          <w:color w:val="1F4E79"/>
        </w:rPr>
        <w:t xml:space="preserve"> passed the threshold against 86 % of </w:t>
      </w:r>
      <w:r>
        <w:rPr>
          <w:i/>
          <w:color w:val="1F4E79"/>
        </w:rPr>
        <w:t>P. toxostoma</w:t>
      </w:r>
      <w:r>
        <w:rPr>
          <w:color w:val="1F4E79"/>
        </w:rPr>
        <w:t xml:space="preserve"> (pass 1), and 67 % of all 42 hybrids (pass 2), a gap of 36 and 20 points respectively.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the midgut gap (14.0 and 8.9 points) persisting at 500 reads in any case (Supplementary Table S6 and Figure S1).</w:t>
      </w:r>
      <w:r>
        <w:rPr>
          <w:i/>
          <w:color w:val="888888"/>
          <w:sz w:val="18"/>
        </w:rPr>
        <w:t xml:space="preserve"> [Écarts de rétention : valeurs du run durance1 (scripts/43-retention_profondeur.py, results/depth_agreement/retention_par_categorie.tsv, 2026-10-05) ; aucun script ne les produisait auparavant. Sur les trois runs : caudale à 3 000 lectures 29,0–36,4 points (passe 1) et 14,7–19,8 (passe 2) ; à 500 lectures 2,6–3,8 et 3,4–5,7 ; midgut à 500 lectures 5,7–14,0 et 7,8–8,9 (runs confondus : 32,3 / 17,2 ; 3,4 / 4,5 ; 8,5 / 8,2). Le midgut de la passe 1 dépend du run (14,0 dans durance1, 5,7 dans les deux autres). Rapporter la valeur d'un run ou l'étendue : à trancher par JF.]</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rapportée ; à trancher par JF.]</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varies by at most 0.067 between 1,000 and 10,000 reads [14].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and genotype-resolved host identities, without altering any accession, alias or sequence file (Supplementary Note S2); host subject identifiers are reused between years (Supplementary Note S3).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delay between capture and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p>
    <w:p>
      <w:pPr/>
      <w:r>
        <w:rPr>
          <w:i/>
          <w:color w:val="888888"/>
          <w:sz w:val="18"/>
        </w:rPr>
        <w:t>[À reformuler après l'arbitrage D2 de JF : « the delay between capture and dissection » ne correspond plus au protocole. Les poissons sont gardés vivants en vivier jusqu'à la dissection, 4–6 min par poisson (André, 2026-10-03) ; le confondant est la durée de séjour en vivier, c'est-à-dire l'ordre de traitement. Dans chaque campagne, la colonne suit cet ordre, et le test du 2026-10-03 ne peut pas séparer les deux (RESULTATS R32, docs/recalcul/note_tests_2026-10-03.md).]</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i/>
          <w:color w:val="888888"/>
          <w:sz w:val="18"/>
        </w:rPr>
        <w:t xml:space="preserve"> [Non testé : C. nasus étant en général traité en premier (§1), le classement « dominant Cn » pourrait refléter l'ordre de traitement (RESULTATS R31). Le contraste femelles/mâles (R27) n'est pas rapporté tant que le code de sexe « X » n'est pas confirmé.]</w:t>
      </w:r>
    </w:p>
    <w:p>
      <w:pPr>
        <w:pStyle w:val="Heading1"/>
      </w:pPr>
      <w:r>
        <w:rPr>
          <w:color w:val="1F4E79"/>
        </w:rPr>
        <w:t>Composition by genotypic category</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S3.</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S3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 xml:space="preserve">Four limits bound these conclusions. Genotypic category is confounded with station, and the three stations carrying all three categories hold 65–74 individuals, so that category effects are estimated mostly between stations. Plate position affected composition and followed processing order in every campaign; its mechanism — extraction order, reagent drift within a plate, cross-contamination between adjacent wells or time spent in the holding tank — is not identified, and because </w:t>
      </w:r>
      <w:r>
        <w:rPr>
          <w:i/>
          <w:color w:val="1F4E79"/>
        </w:rPr>
        <w:t>C. nasus</w:t>
      </w:r>
      <w:r>
        <w:rPr>
          <w:color w:val="1F4E79"/>
        </w:rPr>
        <w:t xml:space="preserve"> was generally processed first it could contribute to the dominance of </w:t>
      </w:r>
      <w:r>
        <w:rPr>
          <w:i/>
          <w:color w:val="1F4E79"/>
        </w:rPr>
        <w:t>C. nasus</w:t>
      </w:r>
      <w:r>
        <w:rPr>
          <w:color w:val="1F4E79"/>
        </w:rPr>
        <w:t xml:space="preserve"> in caudal-fin alpha diversity, which was not tested. 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t>Fish were captured by electrofishing and euthanised before dissection under authorisations n° 2014-156-0001 and n° 2015-1426DDT605, following international guidelines of animal care.</w:t>
      </w:r>
      <w:r>
        <w:rPr>
          <w:i/>
          <w:color w:val="888888"/>
          <w:sz w:val="18"/>
        </w:rPr>
        <w:t xml:space="preserve"> [À compléter (questions de suivi à André, 2026-10-03) : autorités de délivrance — ONEMA et DDT 04, 05 et 84 selon André — et couverture des stations de l'Ain et de l'Ardèche ; méthode d'euthanasie (dislocation cervicale, non confirmée).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This work was funded by Électricité de France (EDF) through an EDF–CNRS doctoral contract (AGDI 428481) financing the thesis of Arnaud Ungaro, the contract that also funded Guivier et al. [31] within the FACIES project, with the support of the Fédération de l'Ain pour la pêche et la protection des milieux aquatiques.</w:t>
      </w:r>
    </w:p>
    <w:p>
      <w:pPr/>
      <w:r>
        <w:rPr>
          <w:i/>
          <w:color w:val="888888"/>
          <w:sz w:val="18"/>
        </w:rPr>
        <w:t>[Financement : référence du contrat « EDF-CNRS AGDI 428481 » (André, 2026-10-03). Le rattachement de ce contrat de thèse au projet FACIES de Guivier et al. (2017) combine deux réponses d'André (2026-09-30 et 2026-10-03) et n'est pas confirmé explicitement — à vérifier. Section Acknowledgements : à rédiger en fin de manuscrit (André, 2026-10-03).]</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