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 xml:space="preserve">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w:t>
      </w:r>
      <w:r>
        <w:rPr>
          <w:i w:val="0"/>
          <w:color w:val="1F4E79"/>
        </w:rPr>
        <w:t>TL: total length. Sex: F, female; M, male; NA, sex not determined (juveniles, or sex not assigned).</w:t>
      </w:r>
      <w:r>
        <w:rPr>
          <w:i w:val="0"/>
          <w:color w:val="1F4E79"/>
        </w:rPr>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[Codes de sexe : les individus non sexés sont notés NA (69), à la demande d'André (2026-10-06) ; les métadonnées du projet gardent X (52, taille moyenne 13,0 cm, juvéniles présumés) et vide (17, 18,2 cm, adultes non sexés présumés) — X = juvéniles confirmé par André (2026-10-06, second lot), qui demande NA pour X comme pour les cases vides dans la table et le maintien de X et du vide dans les fichiers de métadonnées.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A third correction, on 2026-10-06, dated the 44 Pertuis samples to their fishing campaign (2014-07-07 or 2014-08-20) and prefixed the host subject id of the 727 biological samples with the campaign (Note S3), 771 fields in all. The cumulative state left by the three corrections was then verified against the archive: 727 samples queried, 5,339 fields conforming, none discrepant and no sample missing. None of the corrections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the two 2014 fishing campaigns at Pertuis being dated separately (2014-07-07 and 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r>
        <w:drawing>
          <wp:inline xmlns:a="http://schemas.openxmlformats.org/drawingml/2006/main" xmlns:pic="http://schemas.openxmlformats.org/drawingml/2006/picture">
            <wp:extent cx="5486400" cy="5323465"/>
            <wp:docPr id="6" name="Picture 6"/>
            <wp:cNvGraphicFramePr>
              <a:graphicFrameLocks noChangeAspect="1"/>
            </wp:cNvGraphicFramePr>
            <a:graphic>
              <a:graphicData uri="http://schemas.openxmlformats.org/drawingml/2006/picture">
                <pic:pic>
                  <pic:nvPicPr>
                    <pic:cNvPr id="0" name="fig_S4_phyla.png"/>
                    <pic:cNvPicPr/>
                  </pic:nvPicPr>
                  <pic:blipFill>
                    <a:blip r:embed="rId9"/>
                    <a:stretch>
                      <a:fillRect/>
                    </a:stretch>
                  </pic:blipFill>
                  <pic:spPr>
                    <a:xfrm>
                      <a:off x="0" y="0"/>
                      <a:ext cx="5486400" cy="5323465"/>
                    </a:xfrm>
                    <a:prstGeom prst="rect"/>
                  </pic:spPr>
                </pic:pic>
              </a:graphicData>
            </a:graphic>
          </wp:inline>
        </w:drawing>
      </w:r>
    </w:p>
    <w:p>
      <w:r>
        <w:rPr>
          <w:i/>
          <w:sz w:val="16"/>
        </w:rPr>
        <w:t>Figure S3. Phylum-level composition of the 16S microbiota by tissue (a) at each station, all fish pooled, and (b) by genotypic category at the three stations where C. nasus, hybrids and P. toxostoma co-occur. Stacked bars give mean relative abundances of the twelve most abundant bacterial phyla (SILVA 138.2 nomenclature); remaining phyla are pooled as "Other phyla", and reads not assigned at phylum rank are shown as "Unassigned". Libraries with ≥ 3,000 reads after decontamination (1,784 libraries) were converted to relative abundances and averaged per individual × tissue across sequencing runs (628 profiles from 180 individuals). Numbers above bars are individuals. (a) All individuals of each station, genotypic categories pooled; each fish of a station weighs equally. Stations are ordered as in Fig. 1a; because their genotypic composition differs (Fig. 1a), a station bar combines station and category. Pseudomonadota is the most abundant phylum in 33 of the 36 tissue × station profiles, Fusobacteriota in the remaining three (hindgut at Saint-Just-d'Ardèche, midgut at Rosières and Saint-Just-d'Ardèche). Fusobacteriota and Bacillota are more abundant in both gut sections than in both external tissues at eight of nine stations, the exceptions being the Largue canal for Fusobacteriota and Avignon for Bacillota. The caudal fin bar of the Largue canal rests on three individuals. (b) Cn, C. nasus; Hy, all hybrids, intermediate and near-parental pooled; Pt, P. toxostoma. Stations: Canal (usine du Largue), Confluence Buëch-Méouge and Saint-Just-d'Ardèche. Because station is the main source of variation in community composition, categories are compared at equal stations: profiles were averaged per station and category, and each bar is the unweighted mean of the station means, so every station contributes equally and identically to the three categories. Within each tissue a station was kept only if every category had at least two individual profiles; for the caudal fin the Largue canal did not meet this criterion and the bars rest on two stations. Weighting by individuals instead of stations changes any bar segment by at most 6.5 percentage points. Intermediate and near-parental hybrids are pooled because they are unevenly distributed among stations (8 intermediate and 2 near-parental at Confluence Buëch-Méouge, 1 and 5 at Saint-Just-d'Ardèche): under the same two-profile criterion a four-category comparison would retain a single station per tissue. The unassigned fraction in the midgut bars of the Largue canal (a) and of C. nasus (b) comes from a single C. nasus individual in which one amplicon sequence variant unassigned at phylum rank accounts for 80 % of midgut reads; it weighs one ninth of each of these bars. Correspondence with former names: Pseudomonadota = Proteobacteria; Bacillota = Firmicutes (including Mollicutes/Mycoplasmatales, formerly Tenericutes); Bacteroidota = Bacteroidetes; Fusobacteriota = Fusobacteria; Thermodesulfobacteriota includes the former Deltaproteobacteria (Desulfuromonadia, Desulfovibrionia, Desulfobulbia); Actinomycetota = Actinobacteria; Cyanobacteriota = Cyanobacteria. The figure is descriptive; contrasts between categories in community composition are tested in the main text (Fig. 3).</w:t>
      </w:r>
    </w:p>
    <w:p/>
    <w:p>
      <w:r>
        <w:drawing>
          <wp:inline xmlns:a="http://schemas.openxmlformats.org/drawingml/2006/main" xmlns:pic="http://schemas.openxmlformats.org/drawingml/2006/picture">
            <wp:extent cx="5486400" cy="3549874"/>
            <wp:docPr id="7" name="Picture 7"/>
            <wp:cNvGraphicFramePr>
              <a:graphicFrameLocks noChangeAspect="1"/>
            </wp:cNvGraphicFramePr>
            <a:graphic>
              <a:graphicData uri="http://schemas.openxmlformats.org/drawingml/2006/picture">
                <pic:pic>
                  <pic:nvPicPr>
                    <pic:cNvPr id="0" name="fig_ordination_v1.png"/>
                    <pic:cNvPicPr/>
                  </pic:nvPicPr>
                  <pic:blipFill>
                    <a:blip r:embed="rId11"/>
                    <a:stretch>
                      <a:fillRect/>
                    </a:stretch>
                  </pic:blipFill>
                  <pic:spPr>
                    <a:xfrm>
                      <a:off x="0" y="0"/>
                      <a:ext cx="5486400" cy="3549874"/>
                    </a:xfrm>
                    <a:prstGeom prst="rect"/>
                  </pic:spPr>
                </pic:pic>
              </a:graphicData>
            </a:graphic>
          </wp:inline>
        </w:drawing>
      </w:r>
    </w:p>
    <w:p>
      <w:r>
        <w:rPr>
          <w:i/>
          <w:sz w:val="16"/>
        </w:rPr>
        <w:t>Figure S4. Community composition groups by tissue and by station rather than by genotypic category (Jaccard). (a) Principal coordinates analysis (PCoA) of all samples of sequencing run durance1 (n = 583), coloured by tissue; the first axis separates the two gut sections from the two external tissues. (b) PCoA computed separately for each tissue on the samples of the three stations where C. nasus, hybrids and P. toxostoma co-occur (Canal (usine du Largue), Confluence Buëch-Méouge, Saint-Just-d'Ardèche); colour, genotypic category (hybrids pooled); symbol, station. Samples group by station rather than by category: in every tissue the station centroids are 2.4 to 10 times further apart than the category centroids. At Confluence Buëch-Méouge, sampled in 2014 and 2015, samples of the caudal fin, gill and midgut also separate by campaign; restricting the category tests to station × campaign blocks leaves their results unchanged (Materials and Methods §8.12, control vi). Caudal-fin samples of the Largue canal are absent from (b): in this run none reached 3,000 reads (median 240.5), host mitochondrial 12S rRNA gene reads making up a median of 93 % of their raw reads across the three runs. Distances are mean Jaccard dissimilarities over 400 rarefactions to 3,000 reads, the principal metric of the composition tests (Fig. 3); percentages are eigenvalues relative to the sum of positive eigenvalues. Points are samples, re-extracted tissues included, as in the tests. The same ordinations computed on runs durance2 and durance3 agree with durance1 (Procrustes correlation 0.96–0.99, p = 0.001). The figure is descriptive; category effects are tested in the main text (Fig. 3).</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S5.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prefixed with the sampling campaign</w:t>
      </w:r>
    </w:p>
    <w:p>
      <w:pPr/>
      <w:r>
        <w:rPr>
          <w:i/>
          <w:sz w:val="16"/>
        </w:rPr>
      </w:r>
      <w:r>
        <w:rPr>
          <w:b w:val="0"/>
          <w:i w:val="0"/>
        </w:rPr>
      </w:r>
      <w:r/>
      <w:r>
        <w:rPr>
          <w:b w:val="0"/>
          <w:i w:val="0"/>
          <w:color w:val="1F4E79"/>
        </w:rPr>
        <w:t>In the field records, fish identifiers (e.g. Bue1004) were assigned per station and per sampling campaign, and 24 of them were reused between the 2014 and 2015 campaigns for different individuals. As first deposited, the MIxS attribute 'host subject id' carried these identifiers, so that grouping the samples by it merged 24 pairs of distinct fish and yielded 156 apparent individuals instead of 180.</w:t>
      </w:r>
    </w:p>
    <w:p>
      <w:pPr/>
      <w:r>
        <w:rPr>
          <w:i/>
          <w:sz w:val="16"/>
        </w:rPr>
      </w:r>
      <w:r>
        <w:rPr>
          <w:b w:val="0"/>
          <w:i w:val="0"/>
        </w:rPr>
      </w:r>
      <w:r/>
      <w:r>
        <w:rPr>
          <w:b w:val="0"/>
          <w:i w:val="0"/>
          <w:color w:val="1F4E79"/>
        </w:rPr>
      </w:r>
      <w:r>
        <w:rPr>
          <w:b w:val="0"/>
          <w:i w:val="0"/>
          <w:color w:val="1F4E79"/>
        </w:rPr>
        <w:t xml:space="preserve">Since 2026-10-06 the deposited 'host subject id' is prefixed with the campaign (e.g. 14Bue1004 and 15Bue1004) and identifies the 180 individuals unambiguously — 79 </w:t>
      </w:r>
      <w:r>
        <w:rPr>
          <w:b w:val="0"/>
          <w:i/>
          <w:color w:val="1F4E79"/>
        </w:rPr>
        <w:t>Parachondrostoma toxostoma</w:t>
      </w:r>
      <w:r>
        <w:rPr>
          <w:b w:val="0"/>
          <w:i w:val="0"/>
          <w:color w:val="1F4E79"/>
        </w:rPr>
        <w:t xml:space="preserve">, 59 </w:t>
      </w:r>
      <w:r>
        <w:rPr>
          <w:b w:val="0"/>
          <w:i/>
          <w:color w:val="1F4E79"/>
        </w:rPr>
        <w:t>Chondrostoma nasus</w:t>
      </w:r>
      <w:r>
        <w:rPr>
          <w:b w:val="0"/>
          <w:i w:val="0"/>
          <w:color w:val="1F4E79"/>
        </w:rPr>
        <w:t xml:space="preserve"> and 42 hybrids. One sample, 15Per2015Ch03A, carries a mistyped campaign prefix in its alias: the fish was collected in 2014 and its three other tissues are named 14Per2015Ch01A, 02A and 05A. Its host subject id is 14Per2015, like those of its other tissues, and its collection date is that of its 2014 campaign; the alias itself is left unchanged, an alias being an identifier rather than a datum. Each individual is represented by four tissues, and each tissue by two library preparations (see Table S3).</w:t>
      </w:r>
    </w:p>
    <w:p>
      <w:pPr/>
      <w:r>
        <w:rPr>
          <w:i/>
          <w:sz w:val="16"/>
        </w:rPr>
      </w:r>
      <w:r>
        <w:rPr>
          <w:b w:val="0"/>
          <w:i w:val="0"/>
        </w:rPr>
      </w:r>
      <w:r/>
      <w:r>
        <w:rPr>
          <w:b w:val="0"/>
          <w:i w:val="0"/>
          <w:color w:val="1F4E79"/>
        </w:rPr>
      </w:r>
      <w:r>
        <w:rPr>
          <w:b w:val="0"/>
          <w:i w:val="0"/>
          <w:color w:val="1F4E79"/>
        </w:rPr>
      </w:r>
      <w:r>
        <w:rPr>
          <w:i/>
          <w:color w:val="888888"/>
          <w:sz w:val="18"/>
        </w:rPr>
        <w:t>[Note réécrite le 2026-10-06 après la correction MODIFY du même jour (host subject id préfixé par la campagne, 727 échantillons) et sa vérification sur l'archive par JF (5 339 champs conformes, ena_deposit/verification_cumulee_20261006_1502.txt). À retirer avant soumission.]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9" Type="http://schemas.openxmlformats.org/officeDocument/2006/relationships/image" Target="media/image1.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