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Additional file 11. Host subject identifiers are prefixed with the sampling campaign</w:t>
      </w:r>
    </w:p>
    <w:p>
      <w:pPr/>
      <w:r>
        <w:rPr>
          <w:i/>
          <w:sz w:val="16"/>
        </w:rPr>
      </w:r>
      <w:r>
        <w:rPr>
          <w:b w:val="0"/>
          <w:i w:val="0"/>
        </w:rPr>
      </w:r>
      <w:r/>
      <w:r>
        <w:rPr>
          <w:b w:val="0"/>
          <w:i w:val="0"/>
        </w:rPr>
        <w:t>In the field records, fish identifiers (e.g. Bue1004) were assigned per station and per sampling campaign, and 24 of them were reused between the 2014 and 2015 campaigns for different individuals. As first deposited, the MIxS attribute 'host subject id' carried these identifiers, so that grouping the samples by it merged 24 pairs of distinct fish and yielded 156 apparent individuals instead of 180.</w:t>
      </w:r>
    </w:p>
    <w:p>
      <w:pPr/>
      <w:r>
        <w:rPr>
          <w:i/>
          <w:sz w:val="16"/>
        </w:rPr>
      </w:r>
      <w:r>
        <w:rPr>
          <w:b w:val="0"/>
          <w:i w:val="0"/>
        </w:rPr>
      </w:r>
      <w:r/>
      <w:r>
        <w:rPr>
          <w:b w:val="0"/>
          <w:i w:val="0"/>
        </w:rPr>
      </w:r>
      <w:r>
        <w:rPr>
          <w:b w:val="0"/>
          <w:i w:val="0"/>
        </w:rPr>
        <w:t xml:space="preserve">Since 2026-10-06 the deposited 'host subject id' is prefixed with the campaign (e.g. 14Bue1004 and 15Bue1004) and identifies the 180 individuals unambiguously — 79 </w:t>
      </w:r>
      <w:r>
        <w:rPr>
          <w:b w:val="0"/>
          <w:i/>
        </w:rPr>
        <w:t>Parachondrostoma toxostoma</w:t>
      </w:r>
      <w:r>
        <w:rPr>
          <w:b w:val="0"/>
          <w:i w:val="0"/>
        </w:rPr>
        <w:t xml:space="preserve">, 59 </w:t>
      </w:r>
      <w:r>
        <w:rPr>
          <w:b w:val="0"/>
          <w:i/>
        </w:rPr>
        <w:t>Chondrostoma nasus</w:t>
      </w:r>
      <w:r>
        <w:rPr>
          <w:b w:val="0"/>
          <w:i w:val="0"/>
        </w:rPr>
        <w:t xml:space="preserve"> and 42 hybrids. One sample, 15Per2015Ch03A, carries a mistyped campaign prefix in its alias: the fish was collected in 2014 and its three other tissues are named 14Per2015Ch01A, 02A and 05A. Its host subject id is 14Per2015, like those of its other tissues, and its collection date is that of its 2014 campaign; the alias itself is left unchanged, an alias being an identifier rather than a datum. Each individual is represented by four tissues, and each tissue by two library preparations (see Additional file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