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Additional file 4. Verification of the replication structure</w:t>
      </w:r>
    </w:p>
    <w:p>
      <w:r>
        <w:rPr>
          <w:i w:val="0"/>
        </w:rPr>
        <w:t>The nested structure reported in §3 and §8.8 of the Methods was confirmed on the deposited data. Runs sharing a library preparation are markedly more similar to each other (mean Bray–Curtis 0.118) than to the run from the independent preparation (0.248), and the two library-crossing comparisons are statistically indistinguishable. Sequencing run is accordingly modelled as nested within library preparation rather than as a three-level factor with interchangeable levels.</w:t>
      </w:r>
    </w:p>
    <w:p>
      <w:r>
        <w:rPr>
          <w:i w:val="0"/>
          <w:sz w:val="18"/>
        </w:rPr>
        <w:t>Consequence for the ENA record. The submission declares one EXPERIMENT per run (2,304), although only 1,536 distinct libraries were prepared (768 samples × 2 preparations): in the ENA model an EXPERIMENT describes a library and a RUN its sequencing, so durance2 and durance3 could have been attached to a single experiment. The deposited reads and their links to samples are correct; the experiment count alone would suggest three preparations per sample instead of two. The run labels and this table make the actual structure recoverable.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