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Additional file 6. Sequence processing, quality control and repeated rarefaction</w:t>
      </w:r>
    </w:p>
    <w:p>
      <w:pPr/>
      <w:r>
        <w:rPr/>
        <w:t>This note gives in full the parameters and controls summarised in Methods §4–§9 of the main text. Reference numbers refer to the main-text reference list.</w:t>
      </w:r>
    </w:p>
    <w:p>
      <w:pPr/>
      <w:r>
        <w:rPr>
          <w:b/>
        </w:rPr>
        <w:t xml:space="preserve">Library preparation and sequencing. </w:t>
      </w:r>
      <w:r>
        <w:rPr/>
        <w:t>Bacterial DNA was extracted from each tissue with the Qiagen Food Mericon kit (Qiagen, Venlo, Netherlands), following a slightly modified protocol detailed in Guivier et al. [31]. A 251 bp fragment of the V4 region of the bacterial 16S rRNA gene was amplified using the dual-index method of Kozich et al. [32], with forward and reverse primers carrying an 8 bp index and Illumina adapters (Caporaso primers 515F GTGCCAGCMGCCGCGGTAA / 806R GGACTACHVGGGTWTCTAAT). DNA amplification, purification and pooling of PCR products followed Galan et al. [33]. The final library was quantified with the Kapa quantification kit (Kapa Biosystems) and loaded on an Illumina MiSeq flow cell with reagent kit v3 (600 cycles), run as 2 × 251 bp paired-end reads with two 8 bp index reads (518 of the 600 cycles).</w:t>
      </w:r>
    </w:p>
    <w:p>
      <w:pPr/>
      <w:r>
        <w:rPr>
          <w:b/>
        </w:rPr>
        <w:t xml:space="preserve">Replication structure. </w:t>
      </w:r>
      <w:r>
        <w:rPr/>
        <w:t>For the present study the 768 samples were processed through two independent library preparations, each using the one-step dual-index PCR of Kozich et al. [32], in which the indices are incorporated during amplification. The first amplicon library was sequenced once (run durance1); the second, prepared from an independent PCR of the same samples, was sequenced twice on separate flow cells (runs durance2 and durance3). The same plate layout and the same set of 768 index combinations were used for both preparations, but the assignment of index pairs to wells differs between them: relative to durance1, the i7 index differs for 384 of the 768 libraries and the i5 index for 576, whereas durance2 and durance3 carry identical index pairs throughout (Additional file 3). A distinct index assignment is a direct consequence of the one-step protocol, in which re-indexing an existing amplicon pool is not possible. Each biological sample is therefore represented three times, but with a nested rather than a flat replication structure: two levels of library preparation, and two sequencing runs within the second library. This design separates the variability contributed by library preparation from that contributed by sequencing alone, and neither is confounded with any biological factor.</w:t>
      </w:r>
    </w:p>
    <w:p>
      <w:pPr/>
      <w:r>
        <w:rPr>
          <w:b/>
        </w:rPr>
        <w:t xml:space="preserve">Controls. </w:t>
      </w:r>
      <w:r>
        <w:rPr/>
        <w:t>Negative controls comprised extraction blanks and no-template PCR controls; the original sequencing project of this laboratory reports the same two categories (four extraction negative controls and eight amplification negative controls). In the Durance dataset we verified four extraction blanks — one per tissue (Blanc-Caudal, Blanc-Branchie, Blanc-Midgut, Blanc-Hindgut) — and eight no-template PCR controls (T-1 to T-8), each sequenced in all three runs, i.e. 12 and 24 control samples respectively (36 negative controls in total). Two aliquots of a commercial mock community — the ZymoBIOMICS Microbial Community Standard (Zymo Research, Irvine, CA, USA), a defined mixture of eight known bacterial taxa — were processed alongside the samples as positive controls (6 mock samples across runs). In addition, 25 empty wells received no library and were sequenced in all three runs — 75 empty-well samples — to monitor index hopping between libraries.</w:t>
      </w:r>
    </w:p>
    <w:p>
      <w:pPr/>
      <w:r>
        <w:rPr>
          <w:b/>
        </w:rPr>
        <w:t xml:space="preserve">Pipeline. </w:t>
      </w:r>
      <w:r>
        <w:rPr/>
        <w:t>Reads were processed with a custom, version-controlled pipeline (git-tracked; each parameter justified in the script headers). The three runs were processed separately through denoising and merged thereafter. Software versions: cutadapt 5.0 [34]; R 4.5.3 with DADA2 1.38.0 [35]; SILVA reference v138.2 [36] (DADA2 formatted, Zenodo 14169026); BLAST+ 2.13.0; FastQC and MultiQC for quality control. The 16S rRNA gene V4 primers, being also the sequencing primers (Schloss dual-index protocol), are not present in the reads; no 5′ primer trimming was therefore applied.</w:t>
      </w:r>
    </w:p>
    <w:p>
      <w:pPr/>
      <w:r>
        <w:rPr>
          <w:b/>
        </w:rPr>
        <w:t xml:space="preserve">Quality control. </w:t>
      </w:r>
      <w:r>
        <w:rPr/>
        <w:t>Per-run read quality was assessed with FastQC and aggregated with MultiQC.</w:t>
      </w:r>
    </w:p>
    <w:p>
      <w:pPr/>
      <w:r>
        <w:rPr>
          <w:b/>
        </w:rPr>
        <w:t xml:space="preserve">Removal of co-amplified host 12S rRNA. </w:t>
      </w:r>
      <w:r>
        <w:rPr/>
        <w:t xml:space="preserve">The 16S rRNA gene V4 primers co-amplify the host mitochondrial 12S rRNA gene </w:t>
      </w:r>
      <w:r>
        <w:rPr/>
        <w:t>(host 12S and primer dimers: 14–15 % of reads per run; median 12 % per biological sample, range 0–99 %)</w:t>
      </w:r>
      <w:r>
        <w:rPr/>
        <w:t>. Because the host 12S amplicon (~190 bp) is shorter than the bacterial V4 amplicon (~253 bp), host reads were removed upstream by length with cutadapt 5.0: the reverse complements of 806R and 515F were sought at the 3′ end of R1 and R2 respectively (options -a/-A, error rate -e 0.1, minimum overlap -O 10), and read pairs shorter than 240 bp after trimming (--minimum-length 240) were discarded. In a genuine ~253 bp V4 amplicon the opposite primer is never reached within a 251 bp read, so the read stays near full length and is retained; shorter host 12S reads are trimmed below threshold and removed. Discarded reads were kept separately (--too-short-output) as an exploitable host signal.</w:t>
      </w:r>
    </w:p>
    <w:p>
      <w:pPr/>
      <w:r>
        <w:rPr>
          <w:b/>
        </w:rPr>
        <w:t xml:space="preserve">ASV inference (DADA2, per run). </w:t>
      </w:r>
      <w:r>
        <w:rPr/>
        <w:t>Amplicon sequence variants (ASVs) were inferred with DADA2 1.38.0, independently for each run. Reads were quality-filtered and truncated with filterAndTrim (truncLen = 230 for R1 and 190 for R2; maxN = 0; maxEE = c(2, 2); truncQ = 2; rm.phix = TRUE), preserving a large (~167 bp) overlap for the ~253 bp V4 insert with 2×251 bp reads. Error models were learned separately per run (learnErrors), reflecting three distinct MiSeq runs, and reads were denoised (dada) and merged (mergePairs) into per-run sequence tables (makeSequenceTable).</w:t>
      </w:r>
    </w:p>
    <w:p>
      <w:pPr/>
      <w:r>
        <w:rPr>
          <w:b/>
        </w:rPr>
        <w:t xml:space="preserve">Table merging, chimera removal and taxonomy. </w:t>
      </w:r>
      <w:r>
        <w:rPr/>
        <w:t>The three per-run sequence tables were combined with mergeSequenceTables, keeping the runs of each library distinct (samples suffixed by run, e.g. __durance1) so that the run effect remains estimable. Chimeras were removed from the merged table with removeBimeraDenovo (method = "consensus"). Taxonomy was assigned against SILVA v138.2 with the naïve Bayesian classifier (assignTaxonomy, tryRC = TRUE) and species-level exact matching (addSpecies). assignTaxonomy replicates the reference per thread and required 256 GB RAM.</w:t>
      </w:r>
    </w:p>
    <w:p>
      <w:pPr/>
      <w:r>
        <w:rPr>
          <w:b/>
        </w:rPr>
        <w:t xml:space="preserve">Non-target filtering. </w:t>
      </w:r>
      <w:r>
        <w:rPr/>
        <w:t>ASVs assigned to Eukaryota or unassigned at the domain level, to Chloroplast (Order) or to Mitochondria (Family) were removed; the mitochondrial ASVs correspond to residual full-length host 12S captured by the taxonomic safety net.</w:t>
      </w:r>
    </w:p>
    <w:p>
      <w:pPr/>
      <w:r>
        <w:rPr>
          <w:b/>
        </w:rPr>
        <w:t xml:space="preserve">Resulting dataset. </w:t>
      </w:r>
      <w:r>
        <w:rPr/>
        <w:t>Processing yielded a filtered ASV table of 44,349 ASVs across 2,295 samples (of 2,304 expected; nine empty after filtering: eight controls and one biological sample present in the two other runs). Median read-pair merging was 93–94% and ~98% of reads were retained after chimera removal; ASV length peaked sharply at 251 bp with no residual 12S. The ASV table is joined to the sample metadata (taxon, tissue, site, year, length, weight, sex) by a composite key of the form {sample}__{run}.</w:t>
      </w:r>
    </w:p>
    <w:p>
      <w:pPr/>
      <w:r>
        <w:rPr>
          <w:b/>
        </w:rPr>
        <w:t xml:space="preserve">Mock community. </w:t>
      </w:r>
      <w:r>
        <w:rPr/>
        <w:t>The six mock samples (two aliquots × three runs) were used to validate ASV inference. Mock ASVs were compared by BLASTn (BLAST+ 2.13.0) against a reference of the eight bacterial 16S rRNA gene sequences of the ZymoBIOMICS standard. Because Zymo changed five strains from lot ZRC190633 onward, the earlier strain-set reference (archive ZR160406, corresponding to lots predating the 2019 strain change) was used. A confident match required ≥99% identity over ≥240 aligned bp. For each mock we computed the proportion of confidently Zymo-matching reads, the number of the eight expected species recovered, and the number of spurious ASVs (≥1% of sample reads without a confident hit). All six mocks recovered the eight expected species, with the eight dominant ASVs matching the reference at 100% identity over 251 bp; confidently matching reads represented ~100% of reads in every mock and no spurious ASV exceeded 1%, confirming accurate and clean ASV inference. (</w:t>
      </w:r>
      <w:r>
        <w:rPr>
          <w:i/>
        </w:rPr>
        <w:t>Escherichia coli</w:t>
      </w:r>
      <w:r>
        <w:rPr/>
        <w:t xml:space="preserve"> and </w:t>
      </w:r>
      <w:r>
        <w:rPr>
          <w:i/>
        </w:rPr>
        <w:t>Salmonella enterica</w:t>
      </w:r>
      <w:r>
        <w:rPr/>
        <w:t xml:space="preserve"> each contributed a second divergent ASV at ~99.6%, consistent with their multiple non-identical 16S rRNA gene copies.)</w:t>
      </w:r>
    </w:p>
    <w:p>
      <w:pPr/>
      <w:r>
        <w:rPr/>
        <w:t xml:space="preserve">Lot numbers were not recorded for the standard used here; however, sequencing was performed in 2017 (July–November), which predates the ZRC190633 lot from which the five strains were changed, so the earlier strain set applies. This choice does not affect the validation: we verified that over the amplified V4 region the 16S rRNA gene sequences of the two reference sets are identical for all eight species — including </w:t>
      </w:r>
      <w:r>
        <w:rPr>
          <w:i/>
        </w:rPr>
        <w:t>Enterococcus faecalis</w:t>
      </w:r>
      <w:r>
        <w:rPr/>
        <w:t xml:space="preserve"> and </w:t>
      </w:r>
      <w:r>
        <w:rPr>
          <w:i/>
        </w:rPr>
        <w:t>Staphylococcus aureus</w:t>
      </w:r>
      <w:r>
        <w:rPr/>
        <w:t>, whose full-length 16S rRNA gene sequences differ between lots — so the mock ASVs match either reference equally and the recovery of 8/8 expected species is independent of the lot assignment.</w:t>
      </w:r>
    </w:p>
    <w:p>
      <w:pPr/>
      <w:r>
        <w:rPr>
          <w:b/>
        </w:rPr>
        <w:t xml:space="preserve">Decontamination. </w:t>
      </w:r>
      <w:r>
        <w:rPr/>
        <w:t>Reagent and laboratory contaminants were identified with decontam v1.30.0 [37] using the prevalence method, which contrasts the prevalence of each ASV in true samples against negative controls. DNA concentrations were not available for the Durance libraries, precluding the frequency method. The negative set comprised extraction blanks and PCR (no-template) negative controls, each present in all three sequencing runs (36 control samples in total); mock communities and empty wells were excluded from this step. Batches were defined by sequencing run. Two classification thresholds were compared (0.1, the package default, and 0.5). The default threshold of 0.1 was retained: it flagged 66 ASVs (0.15 % of ASVs) while retaining 99.76 % of reads, and the flagged taxa were taxonomically consistent with common reagent contaminants (Pseudomonadaceae, Moraxellaceae, Micrococcaceae, Propionibacteriaceae, Streptococcaceae). The more aggressive 0.5 threshold removed 2.13 % of reads in total, 1.89 points more than the retained threshold, including ASVs carrying genuine biological signal — most notably a Candidatus Branchiomonas ASV that was prevalent in gill and external tissues and essentially absent from negative controls — and was therefore rejected.</w:t>
      </w:r>
    </w:p>
    <w:p>
      <w:pPr/>
      <w:r>
        <w:rPr>
          <w:b/>
        </w:rPr>
        <w:t xml:space="preserve">Index hopping. </w:t>
      </w:r>
      <w:r>
        <w:rPr/>
        <w:t>Cross-talk between libraries (index hopping) was quantified using the 25 empty wells, which received no library and in which any read therefore represents leakage; across the three runs they give 75 empty-well samples, of which 67 retained at least one read after filtering and 8 none. Across all empty wells these accumulated 41 reads out of 26.8 million (0.0002 %; median 0 reads per well, maximum 13), indicating negligible index hopping. No background-noise subtraction was applied on this basis.</w:t>
      </w:r>
    </w:p>
    <w:p>
      <w:pPr/>
      <w:r>
        <w:rPr>
          <w:b/>
        </w:rPr>
        <w:t xml:space="preserve">Mock-derived sample-level artefacts. </w:t>
      </w:r>
      <w:r>
        <w:rPr/>
        <w:t>The ten ASVs matching the ZymoBIOMICS reference strains were used as exogenous tracers to screen biological samples. Two nominal individuals consisted of a single caudal-fin sample dominated by mock ASVs (70 % and 99 % of reads) and were positioned in the wells and index series of the mock controls; they were confirmed as mislabelled mock wells and excluded from the biological dataset. A further nine complete individuals showed mock ASVs at 20–65 % in a single well-tissue combination, with their remaining tissues unaffected, consistent with well-level contamination rather than sample-wide carry-over. The affected wells were mostly external tissues (13 caudal fin, 3 gill) but also included four digestive-tissue wells (3 hindgut, 1 midgut). For these samples the mock ASVs were removed and the remaining, legitimate ASVs retained. Mock ASVs were removed from all samples, and ASVs left with zero counts were discarded.</w:t>
      </w:r>
    </w:p>
    <w:p>
      <w:pPr/>
      <w:r>
        <w:rPr>
          <w:b/>
        </w:rPr>
        <w:t xml:space="preserve">Phylogenetic tree. </w:t>
      </w:r>
      <w:r>
        <w:rPr/>
        <w:t>A de novo phylogeny was built from the ASV sequences with QIIME 2 [38] (align-to-tree-mafft-fasttree): multiple alignment with MAFFT [39], masking of highly variable positions, tree inference with FastTree 2 [40], and midpoint rooting. Fragment insertion into a reference backbone (SEPP) was not used because the ASVs are near-complete V4 amplicons (~251 bp) for which de novo alignment is appropriate. The resulting rooted tree covers all ASVs of the analysis table and supports UniFrac distances [41] and Faith's phylogenetic diversity [42].</w:t>
      </w:r>
    </w:p>
    <w:p>
      <w:pPr/>
      <w:r>
        <w:rPr>
          <w:b/>
        </w:rPr>
        <w:t xml:space="preserve">Choice of rarefaction depth. </w:t>
      </w:r>
      <w:r>
        <w:rPr/>
        <w:t>Uneven sequencing effort was controlled by rarefaction, currently the most robust approach for alpha- and beta-diversity metrics [43]. No universal threshold exists; the depth was therefore chosen on the data using three criteria. First, richness plateaued below 3,000 reads in rarefaction curves, so this depth captures the recoverable diversity. Second, a threshold of 3,000 reads retained 81.8 % of samples (1,784/2,180), against 72.6 % at 5,000 reads. Third — and decisively — sample retention at 3,000 reads was balanced across sequencing runs (80.2–83.5 % per run), the main technical batch factor, so rarefaction does not confound depth with batch. A higher threshold was rejected because it increased uneven sample loss across sites and taxa without improving coverage.</w:t>
      </w:r>
    </w:p>
    <w:p>
      <w:pPr/>
      <w:r>
        <w:rPr>
          <w:b/>
        </w:rPr>
        <w:t xml:space="preserve">Repeated rarefaction. </w:t>
      </w:r>
      <w:r>
        <w:rPr/>
        <w:t>Rarefaction was applied repeatedly rather than as a single draw [44]. Alpha-diversity indices (observed richness, Shannon, inverse Simpson) were averaged over 1,000 independent rarefactions, and Bray–Curtis and Jaccard dissimilarity matrices over 400. Metrics were averaged rather than count tables: averaging tables would populate each cell with the union of detections across draws and inflate observed richness above what 3,000 reads can support, reintroducing the very depth dependence that rarefaction removes.</w:t>
      </w:r>
    </w:p>
    <w:p>
      <w:pPr/>
      <w:r>
        <w:rPr>
          <w:b/>
        </w:rPr>
        <w:t xml:space="preserve">Monte-Carlo error. </w:t>
      </w:r>
      <w:r>
        <w:rPr/>
        <w:t>Monte-Carlo error was quantified rather than assumed. Because a cumulative mean at N draws and one at 2N share their first N draws and are therefore autocorrelated, convergence was assessed by running two independent chains with disjoint seeds and comparing their means at matched iteration counts, the standard error of a single chain being sd(chain₁ − chain₂)/√2. This error decreased as N^−0.49 (Bray–Curtis) and N^−0.51 (Jaccard), matching the N^−0.5 expected for an average of independent draws. At 100 iterations it stood at 0.04 % of the mean dissimilarity (0.0004 in absolute terms), three orders of magnitude below both the technical (0.118–0.248) and the biological (0.880) dissimilarity scales reported in the main-text Results, so 100 iterations would have sufficed for the beta-diversity matrices. Median Monte-Carlo standard deviations for the alpha indices were 0.023 for Shannon (0.8 % of the median value), 2.37 for observed richness (1.9 %) and 0.21 for inverse Simpson (2.5 %); the abundance-weighted indices were thus the more stable, consistent with the limited reproducibility of rare ASVs (main text, Results). Convergence values are given in Additional file 7.</w:t>
      </w:r>
    </w:p>
    <w:p>
      <w:pPr/>
      <w:r>
        <w:rPr/>
        <w:t>Note that an averaged dissimilarity matrix is not guaranteed to satisfy the triangle inequality. This does not affect PERMANOVA or principal coordinates analysis, both of which accept semi-metrics, but the averaged matrices were not used in any method requiring a true metric.</w:t>
      </w:r>
    </w:p>
    <w:p>
      <w:pPr/>
      <w:r>
        <w:rPr>
          <w:b/>
        </w:rPr>
        <w:t xml:space="preserve">Phylogenetic metrics. </w:t>
      </w:r>
      <w:r>
        <w:rPr/>
        <w:t>Phylogenetic metrics were computed on the same draws as the taxonomic ones. Unweighted UniFrac, weighted normalized UniFrac and Faith's phylogenetic diversity were averaged over 400 rarefactions at 3,000 reads, run as two independent chains of 200 with disjoint seeds so that Monte-Carlo error could be measured rather than assumed: relative standard error ranged from 0.04 % (Shannon) to 0.18 % (inverse Simpson), with between-chain correlations of at least 0.99987 on every metric. Convergence established on Bray-Curtis was not assumed to transfer to UniFrac. As a control that could have failed, the three taxonomic alpha indices were recomputed on these draws and compared with the earlier, independently drawn series: agreement was r &gt; 0.999997 with mean relative deviations of 0.04-0.15 %.</w:t>
      </w:r>
    </w:p>
    <w:p>
      <w:pPr/>
      <w:r>
        <w:rPr>
          <w:b/>
        </w:rPr>
        <w:t xml:space="preserve">Depth and sample selection. </w:t>
      </w:r>
      <w:r>
        <w:rPr/>
        <w:t xml:space="preserve">Because the rarefaction threshold both equalises depth and decides which samples enter, the second of these effects was quantified separately. On a fixed set of samples - those retained at 3,000 reads, so that only depth varies - dissimilarity matrices recomputed at 500 to 2,000 reads were compared with the 3,000-read reference. The two abundance-weighted metrics proved essentially invariant down to 500 reads (weighted UniFrac r = 0.9994, Bray-Curtis r = 0.9985), whereas the two presence-based metrics degraded (Jaccard r = 0.9617, unweighted UniFrac r = 0.9373) and observed richness fell by 42 %, confirming that the loss is driven by rare taxa rather than by a general low-depth artefact. Sample retention at 3,000 reads is not random with respect to the variable of interest: </w:t>
      </w:r>
      <w:r>
        <w:rPr/>
        <w:t>in the caudal fin, across the three sequencing runs, 50 % of intermediate hybrids</w:t>
      </w:r>
      <w:r>
        <w:rPr/>
        <w:t xml:space="preserve"> passed the threshold against 79–86 % of </w:t>
      </w:r>
      <w:r>
        <w:rPr>
          <w:i/>
        </w:rPr>
        <w:t>P. toxostoma</w:t>
      </w:r>
      <w:r>
        <w:rPr/>
        <w:t xml:space="preserve"> (pass 1), and 64–67 % of all 42 hybrids (pass 2), a gap of 29–36 and 15–20 points respectively, and of 20–48 and 7–36 points at one of the three stations carrying the full genotypic gradient. No threshold removes this selection without the corresponding loss of richness. Claims resting on abundance-weighted metrics are therefore accompanied by a sensitivity analysis at 500 reads, where the caudal-fin gap falls to 2.6–3.8 points (pass 1) and 3.4–5.7 points (pass 2) and 2,067 samples are retained (1,825 in pass 1); claims resting on presence-based metrics are reported at 3,000 reads with the selection declared, since they cannot be tested at 500 and the midgut gap (5.7–14.0 and 7.8–8.9 points) persists there in any case. Additional files 8 and 9.</w:t>
      </w:r>
    </w:p>
    <w:p>
      <w:pPr/>
      <w:r>
        <w:rPr>
          <w:b/>
        </w:rPr>
        <w:t xml:space="preserve">ENA submission. </w:t>
      </w:r>
      <w:r>
        <w:rPr/>
        <w:t>Raw sequence data have been deposited in the European Nucleotide Archive (ENA) at EMBL-EBI under accession number PRJEB124417. The submission comprises 768 samples and 2,304 sequencing runs (4,608 FASTQ files, 11.7 GB). Each sample was processed through two independent one-step dual-index PCR library preparations: the first library was sequenced once (run label durance1) and the second was sequenced twice on separate flow cells (durance2, durance3). Runs are named accordingly, so that the nested replication structure described in Methods §8.8 — sequencing replication nested within library preparation — can be recovered directly from the run titles. Sample metadata follow the GSC MIxS host-associated checklist (ERC000013) and report collection year, sampling-site coordinates, host species and sampled tissue. Extraction blanks, no-template PCR controls and mock community aliquots are included in the submission and are identified as such in the sample titles; the 25 empty wells used to quantify index hopping (Methods §8.2) are likewise deposited. Per-run accessions, file names and MD5 checksums for all 4,608 files are given in Additional file 10.</w:t>
      </w:r>
    </w:p>
    <w:p>
      <w:pPr/>
      <w:r>
        <w:rPr>
          <w:b/>
        </w:rPr>
        <w:t xml:space="preserve">ENA metadata corrections. </w:t>
      </w:r>
      <w:r>
        <w:rPr/>
        <w:t>ENA metadata were corrected on 2026-08-31 (field-record coordinates, exact collection dates and genotype-resolved host identities); PRJEB124417 is up to date. The correction covered 3,472 fields across the 727 biological samples and was verified field by field; the 41 controls, the sample accessions, the aliases and the sequence files were unchanged. A second correction, on 2026-09-25, aligned host identity on the 25-chromosome genotyping: sample title, host scientific name and host common name were updated for 568 samples (1,199 fields), hybrids being recorded as nasus x toxostoma. It was then verified against the archive itself: 727 samples queried, 1,199 fields conforming, none discrepant. A third correction, on 2026-10-06, dated the 44 Pertuis samples to their fishing campaign (2014-07-07 or 2014-08-20) and prefixed the host subject id of the 727 biological samples with the campaign (Additional file 11), 771 fields in all. The cumulative state left by the three corrections was then verified against the archive: 727 samples queried, 5,339 fields conforming, none discrepant and no sample missing. None of the corrections altered a sample accession, an alias or a sequence file.</w:t>
      </w:r>
    </w:p>
    <w:p>
      <w:pPr/>
      <w:r>
        <w:rPr/>
        <w:t>Metadata completeness. Sampling-site coordinates and environmental context terms were obtained from the field records and are reported per site in Additional file 1. Collection dates are given at day resolution for every station, the two 2014 fishing campaigns at Pertuis being dated separately (2014-07-07 and 2014-08-20).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