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Materials and Methods</w:t>
      </w:r>
    </w:p>
    <w:p>
      <w:r>
        <w:rPr>
          <w:b w:val="0"/>
          <w:i/>
        </w:rPr>
        <w:t>Projet microbiome-hybrid. Section rédigée à partir des scripts, de la config et des résultats versionnés sur le cluster (juillet 2026). Les paramètres bioinformatiques sont exacts (extraits des scripts) ; les éléments de paillasse absents du dépôt sont signalés en rouge et restent à renseigner par les expérimentateurs.</w:t>
      </w:r>
    </w:p>
    <w:p>
      <w:pPr>
        <w:pStyle w:val="Heading1"/>
      </w:pPr>
      <w:r>
        <w:t>1. Study system and sampling</w:t>
      </w:r>
    </w:p>
    <w:p>
      <w:r>
        <w:rPr>
          <w:b w:val="0"/>
          <w:i w:val="0"/>
        </w:rPr>
        <w:t>We studied the host-associated bacterial microbiota of two interbreeding cyprinid fishes, the nase Chondrostoma nasus (hotu, code Cn) and the toxostome Parachondrostoma toxostoma (code Pt), together with unassigned Chondrostoma sp. individuals (code Ch) from their contact zone, which include the two parental species and their hybrids not yet resolved by field determination. Fish were sampled across nine sites of the Rhône drainage (Durance and Ardèche rivers, France) over two years (2014 and 2015), spanning a gradient of hybrid-zone context (allopatry, sympatry with hybridisation, and asymmetric introgression).</w:t>
      </w:r>
    </w:p>
    <w:p>
      <w:r>
        <w:rPr>
          <w:b w:val="0"/>
          <w:i w:val="0"/>
        </w:rPr>
        <w:t>A total of 183 individual fish were sampled and sequenced (134 Chondrostoma sp., 37 C. nasus, 12 P. toxostoma). The sampling design is strongly unbalanced: site and year are largely confounded (only two sites were sampled in both years), as are taxon and site.</w:t>
      </w:r>
    </w:p>
    <w:p>
      <w:r>
        <w:rPr>
          <w:i/>
          <w:color w:val="C00000"/>
        </w:rPr>
        <w:t>[À COMPLÉTER : dates précises de collecte, méthode de capture (pêche électrique ?), nombre d'individus par site/année, coordonnées des 9 sites et correspondance code↔nom de site (canal, Ain, Büech, St-Just, Baume, Avignon…), numéros d'autorisation de pêche et d'éthique animale, mode d'euthanasie.]</w:t>
      </w:r>
    </w:p>
    <w:p>
      <w:r>
        <w:rPr>
          <w:b w:val="0"/>
          <w:i/>
        </w:rPr>
        <w:t>Note : l'identification fine des individus Chondrostoma sp. (statut parental vs hybride, code Species = Cn/Pt/Hy) est en cours de caractérisation et sera intégrée pour l'analyse de la question hybride ; elle n'affecte pas le traitement bioinformatique décrit ci-dessous.</w:t>
      </w:r>
    </w:p>
    <w:p>
      <w:pPr>
        <w:pStyle w:val="Heading1"/>
      </w:pPr>
      <w:r>
        <w:t>2. Tissue sampling and preservation</w:t>
      </w:r>
    </w:p>
    <w:p>
      <w:r>
        <w:rPr>
          <w:b w:val="0"/>
          <w:i w:val="0"/>
        </w:rPr>
        <w:t>Four tissues were sampled per fish, spanning a gradient of contact with the external environment: caudal fin (code 01), midgut (02), hindgut (03) and gill (05). Nine tissues were extracted twice (independent re-extractions of the same tissue, flagged as extraction ‘bis’) and are treated as technical replicates.</w:t>
      </w:r>
    </w:p>
    <w:p>
      <w:r>
        <w:rPr>
          <w:i/>
          <w:color w:val="C00000"/>
        </w:rPr>
        <w:t>[À COMPLÉTER : conditions de dissection (matériel stérile ?), mode de conservation des tissus (éthanol, congélation ?) et température/durée de stockage avant extraction.]</w:t>
      </w:r>
    </w:p>
    <w:p>
      <w:pPr>
        <w:pStyle w:val="Heading1"/>
      </w:pPr>
      <w:r>
        <w:t>3. DNA extraction, 16S library preparation and sequencing</w:t>
      </w:r>
    </w:p>
    <w:p>
      <w:r>
        <w:rPr>
          <w:b w:val="0"/>
          <w:i w:val="0"/>
        </w:rPr>
        <w:t>Bacterial community composition was characterised by amplicon sequencing of the V4 hypervariable region of the 16S rRNA gene, using the Caporaso primers 515F (GTGCCAGCMGCCGCGGTAA) and 806R (GGACTACHVGGGTWTCTAAT). Libraries followed the Schloss dual-index protocol, in which the amplification primers also serve as the sequencing primers; consequently the primer sequences are not present in the reads.</w:t>
      </w:r>
    </w:p>
    <w:p>
      <w:r>
        <w:rPr>
          <w:b w:val="0"/>
          <w:i w:val="0"/>
        </w:rPr>
        <w:t>The same 768 libraries were sequenced three independent times on an Illumina MiSeq platform (runs durance1, durance2 and durance3; distinct flow cells and i5 index sets, identical plate layout and i7 indices). Each biological sample is therefore present in triplicate across runs, allowing the sequencing-run effect to be estimated directly, unconfounded with any biological factor.</w:t>
      </w:r>
    </w:p>
    <w:p>
      <w:r>
        <w:rPr>
          <w:i/>
          <w:color w:val="C00000"/>
        </w:rPr>
        <w:t>[À COMPLÉTER : kit d'extraction d'ADN et protocole, quantification, conditions de PCR (polymérase, nombre de cycles, volumes), stratégie d'indexation détaillée, chimie MiSeq (2×250 ou 2×300 ?), plateforme/plateau technique de séquençage, spike-in PhiX, dates des runs.]</w:t>
      </w:r>
    </w:p>
    <w:p>
      <w:pPr>
        <w:pStyle w:val="Heading1"/>
      </w:pPr>
      <w:r>
        <w:t>4. Controls</w:t>
      </w:r>
    </w:p>
    <w:p>
      <w:r>
        <w:rPr>
          <w:b w:val="0"/>
          <w:i w:val="0"/>
        </w:rPr>
        <w:t>Extraction blanks and no-template PCR controls (39 controls in total, each sequenced across the three runs) and two aliquots of a mock community (Mock-1, Mock-2) were processed and sequenced alongside the biological samples for contamination assessment and positive-control validation. The mock community was the ZymoBIOMICS Microbial Community Standard, whose bacterial members and their reference 16S sequences are used for validation (Section 7).</w:t>
      </w:r>
    </w:p>
    <w:p>
      <w:r>
        <w:rPr>
          <w:i/>
          <w:color w:val="C00000"/>
        </w:rPr>
        <w:t>[À COMPLÉTER : référence catalogue exacte et NUMÉRO DE LOT du standard Zymo utilisé (détermine le jeu de souches de référence, cf. §7) ; nombre et nature précise des blancs d'extraction vs contrôles PCR.]</w:t>
      </w:r>
    </w:p>
    <w:p>
      <w:pPr>
        <w:pStyle w:val="Heading1"/>
      </w:pPr>
      <w:r>
        <w:t>5. Sequence processing overview</w:t>
      </w:r>
    </w:p>
    <w:p>
      <w:r>
        <w:rPr>
          <w:b w:val="0"/>
          <w:i w:val="0"/>
        </w:rPr>
        <w:t>Reads were processed with a custom, version-controlled pipeline (git-tracked; each parameter justified in the script headers). The three sequencing runs were processed separately through denoising and merged thereafter. Software versions: cutadapt 5.0; R 4.5.3 with DADA2 1.38.0; SILVA reference v138.2 (DADA2 formatted, Zenodo 14169026); BLAST+ 2.13.0; FastQC and MultiQC for quality control.</w:t>
      </w:r>
    </w:p>
    <w:p>
      <w:pPr>
        <w:pStyle w:val="Heading2"/>
      </w:pPr>
      <w:r>
        <w:t>5.1 Quality control</w:t>
      </w:r>
    </w:p>
    <w:p>
      <w:r>
        <w:rPr>
          <w:b w:val="0"/>
          <w:i w:val="0"/>
        </w:rPr>
        <w:t>Per-run read quality was assessed with FastQC and aggregated with MultiQC.</w:t>
      </w:r>
    </w:p>
    <w:p>
      <w:pPr>
        <w:pStyle w:val="Heading2"/>
      </w:pPr>
      <w:r>
        <w:t>5.2 Removal of co-amplified host 12S rRNA</w:t>
      </w:r>
    </w:p>
    <w:p>
      <w:r>
        <w:rPr>
          <w:b w:val="0"/>
          <w:i w:val="0"/>
        </w:rPr>
        <w:t>The 16S V4 primers co-amplify the mitochondrial 12S rRNA gene of the fish host (14–67% of reads per sample).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falling below 240 bp after trimming (--minimum-length 240) were discarded. In a genuine V4 amplicon of ~253 bp the opposite primer is never reached within a 251 bp read, so the read stays near full length and is retained; the shorter host 12S reads are trimmed below threshold and removed. Discarded reads were retained separately (--too-short-output) as an exploitable host signal.</w:t>
      </w:r>
    </w:p>
    <w:p>
      <w:pPr>
        <w:pStyle w:val="Heading2"/>
      </w:pPr>
      <w:r>
        <w:t>5.3 ASV inference (DADA2, per run)</w:t>
      </w:r>
    </w:p>
    <w:p>
      <w:r>
        <w:rPr>
          <w:b w:val="0"/>
          <w:i w:val="0"/>
        </w:rPr>
        <w:t>Amplicon sequence variants (ASVs) were inferred with DADA2 1.38.0, independently for each run. Reads were quality-filtered and truncated with filterAndTrim (truncLen = 230 for R1 and 190 for R2; maxN = 0; maxEE = c(2, 2); truncQ = 2; rm.phix = TRUE). The chosen truncation lengths preserve a large (~167 bp) overlap for the ~253 bp V4 insert with 2×251 bp reads. Error models were learned separately for each run (learnErrors), reflecting the three distinct MiSeq sequencing runs, and reads were denoised (dada) and merged (mergePairs) into per-run sequence tables (makeSequenceTable).</w:t>
      </w:r>
    </w:p>
    <w:p>
      <w:pPr>
        <w:pStyle w:val="Heading2"/>
      </w:pPr>
      <w:r>
        <w:t>5.4 Table merging, chimera removal and taxonomy</w:t>
      </w:r>
    </w:p>
    <w:p>
      <w:r>
        <w:rPr>
          <w:b w:val="0"/>
          <w:i w:val="0"/>
        </w:rPr>
        <w:t>The three per-run sequence tables were combined with mergeSequenceTables, keeping the three sequencing runs of each library distinct (samples suffixed by run, e.g. __durance1), so that the run effect remains estimable downstream. Chimeras were removed from the merged table with removeBimeraDenovo (method = "consensus"). Taxonomy was assigned against SILVA v138.2 with the naïve Bayesian classifier (assignTaxonomy, tryRC = TRUE) and species-level exact matching (addSpecies). assignTaxonomy replicates the reference in memory per thread and required 256 GB RAM (64 GB failed with out-of-memory).</w:t>
      </w:r>
    </w:p>
    <w:p>
      <w:pPr>
        <w:pStyle w:val="Heading2"/>
      </w:pPr>
      <w:r>
        <w:t>5.5 Non-target filtering</w:t>
      </w:r>
    </w:p>
    <w:p>
      <w:r>
        <w:rPr>
          <w:b w:val="0"/>
          <w:i w:val="0"/>
        </w:rPr>
        <w:t>ASVs assigned to Eukaryota or unassigned at the domain level, to Chloroplast (Order) or to Mitochondria (Family) were removed. The mitochondrial ASVs correspond to residual full-length host 12S that escaped the length-based filter and are captured here by the taxonomic safety net.</w:t>
      </w:r>
    </w:p>
    <w:p>
      <w:pPr>
        <w:pStyle w:val="Heading1"/>
      </w:pPr>
      <w:r>
        <w:t>6. Resulting dataset</w:t>
      </w:r>
    </w:p>
    <w:p>
      <w:r>
        <w:rPr>
          <w:b w:val="0"/>
          <w:i w:val="0"/>
        </w:rPr>
        <w:t>Processing yielded a filtered ASV table of 44,349 ASVs across 2,295 samples (of 2,304 expected; nine were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pStyle w:val="Heading1"/>
      </w:pPr>
      <w:r>
        <w:t>7. Positive-control validation with the mock community</w:t>
      </w:r>
    </w:p>
    <w:p>
      <w:r>
        <w:rPr>
          <w:b w:val="0"/>
          <w:i w:val="0"/>
        </w:rPr>
        <w:t>The two mock aliquots (each in the three runs; six mock samples) were used to validate ASV inference. Mock ASVs were compared by BLASTn (BLAST+ 2.13.0) against a reference of the eight bacterial 16S sequences of the ZymoBIOMICS standard. Because Zymo changed five strains from lot ZRC190633 onward, the reference of the earlier strain set (archive ZR160406, contemporaneous with the 2014–2015 sequencing) was used. A confident match required ≥99% identity over ≥240 aligned bp. For each mock sample we computed the proportion of confidently Zymo-matching reads, the number of the eight expected species recovered, and the number of spurious ASVs (≥1% of sample reads without a confident Zymo hit).</w:t>
      </w:r>
    </w:p>
    <w:p>
      <w:r>
        <w:rPr>
          <w:b w:val="0"/>
          <w:i w:val="0"/>
        </w:rPr>
        <w:t>All six mock samples recovered the eight expected bacterial species, with the eight dominant ASVs matching the reference at 100% identity over 251 bp; confidently Zymo-matching reads represented ~100% of reads in every mock, and no spurious ASV exceeded 1%, confirming accurate and clean ASV inference. (Escherichia coli and Salmonella enterica each contributed a second divergent ASV at ~99.6%, consistent with their multiple, non-identical 16S operons.)</w:t>
      </w:r>
    </w:p>
    <w:p>
      <w:r>
        <w:rPr>
          <w:i/>
          <w:color w:val="C00000"/>
        </w:rPr>
        <w:t>[À COMPLÉTER : confirmer le numéro de lot du standard Zymo pour verrouiller définitivement le choix du jeu de souches de référence (ancien ZR160406 vs refseq.v2).]</w:t>
      </w:r>
    </w:p>
    <w:p>
      <w:pPr>
        <w:pStyle w:val="Heading1"/>
      </w:pPr>
      <w:r>
        <w:t>8. Downstream ecological analysis</w:t>
      </w:r>
    </w:p>
    <w:p>
      <w:r>
        <w:rPr>
          <w:b w:val="0"/>
          <w:i/>
        </w:rPr>
        <w:t>The validated ASV table is the input for the ecological analysis (decontamination from the sequenced blanks, quantification of the sequencing-run effect from the technical triplicates, and α/β-diversity comparisons among taxa, tissues and sites), and ultimately for testing whether the hybrid microbiota is intermediate between the parental species or transgressive. These steps are described in the following sections.</w:t>
      </w:r>
    </w:p>
    <w:p>
      <w:r>
        <w:rPr>
          <w:i/>
          <w:color w:val="C00000"/>
        </w:rPr>
        <w:t>[À COMPLÉTER : rédiger cette section une fois l'identification des hybrides intégrée et le plan d'analyse arrêté (indices de diversité, modèles mixtes, PERMANOVA + PERMDISP, abondance différentielle, etc.).]</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p>
    <w:p>
      <w:r>
        <w:rPr>
          <w:i/>
          <w:color w:val="C00000"/>
        </w:rPr>
        <w:t>[À COMPLÉTER : dépôt des lectures brutes dans un répertoire public (SRA/ENA) et numéro d'accession ; dépôt des métadonnées au format MIxS ; lien vers le dépôt de code (le cas échéant).]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