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Demande de compléments — Materials &amp; Methods</w:t>
      </w:r>
    </w:p>
    <w:p>
      <w:r>
        <w:rPr>
          <w:b w:val="0"/>
          <w:i/>
        </w:rPr>
        <w:t>Projet microbiome-hybrid (16S, hotu × toxostome). Mise à jour du 2026-08-22.</w:t>
      </w:r>
    </w:p>
    <w:p>
      <w:r>
        <w:rPr>
          <w:b w:val="0"/>
          <w:i/>
        </w:rPr>
        <w:t>Le pipeline bioinformatique est complet et la section M&amp;M rédigée jusqu'à la préparation des données. Les points ci-dessous ne peuvent venir que du cahier de laboratoire ou de la plateforme.</w:t>
      </w:r>
    </w:p>
    <w:p>
      <w:pPr>
        <w:pStyle w:val="Heading1"/>
      </w:pPr>
      <w:r>
        <w:t>1 — Échantillonnage (§1 du M&amp;M)</w:t>
      </w:r>
    </w:p>
    <w:p>
      <w:pPr>
        <w:pStyle w:val="ListBullet"/>
      </w:pPr>
      <w:r>
        <w:rPr>
          <w:b w:val="0"/>
        </w:rPr>
        <w:t>Dates précises de collecte, par site et par année (2014 / 2015).</w:t>
      </w:r>
    </w:p>
    <w:p>
      <w:pPr>
        <w:pStyle w:val="ListBullet"/>
      </w:pPr>
      <w:r>
        <w:rPr>
          <w:b w:val="0"/>
        </w:rPr>
        <w:t>Coordonnées géographiques des 9 sites.</w:t>
      </w:r>
    </w:p>
    <w:p>
      <w:pPr>
        <w:pStyle w:val="ListBullet"/>
      </w:pPr>
      <w:r>
        <w:rPr>
          <w:b w:val="0"/>
        </w:rPr>
        <w:t>Confirmer que la pêche électrique et les autorisations n° 2014-156-0001 et n° 2015-1426DDT605 (reprises du manuscrit d'origine) s'appliquent bien au lot Durance.</w:t>
      </w:r>
    </w:p>
    <w:p>
      <w:r>
        <w:rPr>
          <w:b w:val="0"/>
          <w:i/>
        </w:rPr>
        <w:t>Note : les effectifs sont connus (181 individus). Le rôle de Manosque et l'identité de Per restent liés au génotypage en cours — demande séparée.</w:t>
      </w:r>
    </w:p>
    <w:p>
      <w:pPr>
        <w:pStyle w:val="Heading1"/>
      </w:pPr>
      <w:r>
        <w:t>2 — Séquençage (§3 du M&amp;M)</w:t>
      </w:r>
    </w:p>
    <w:p>
      <w:pPr>
        <w:pStyle w:val="ListBullet"/>
      </w:pPr>
      <w:r>
        <w:rPr>
          <w:b/>
        </w:rPr>
        <w:t>Dates des trois runs MiSeq (durance1, durance2, durance3).</w:t>
      </w:r>
    </w:p>
    <w:p>
      <w:pPr>
        <w:pStyle w:val="ListBullet"/>
      </w:pPr>
      <w:r>
        <w:rPr>
          <w:b/>
        </w:rPr>
        <w:t>Taux de spike-in PhiX.</w:t>
      </w:r>
    </w:p>
    <w:p>
      <w:pPr>
        <w:pStyle w:val="ListBullet"/>
      </w:pPr>
      <w:r>
        <w:rPr>
          <w:b w:val="0"/>
        </w:rPr>
        <w:t>Optionnel : nombre de cycles PCR et polymérase. Le M&amp;M cite actuellement Galan et al. (2016) pour les conditions d'amplification, ce qui suffit à la plupart des journaux ; ces valeurs ne sont nécessaires que si le journal exige les paramètres explicites.</w:t>
      </w:r>
    </w:p>
    <w:p>
      <w:pPr>
        <w:pStyle w:val="Heading1"/>
      </w:pPr>
      <w:r>
        <w:t>3 — Standard Zymo (§4 du M&amp;M)</w:t>
      </w:r>
    </w:p>
    <w:p>
      <w:pPr>
        <w:pStyle w:val="ListBullet"/>
      </w:pPr>
      <w:r>
        <w:rPr>
          <w:b w:val="0"/>
        </w:rPr>
        <w:t>Référence catalogue du standard ZymoBIOMICS utilisé (D6300 ou D6305 ?).</w:t>
      </w:r>
    </w:p>
    <w:p>
      <w:r>
        <w:rPr>
          <w:b w:val="0"/>
          <w:i w:val="0"/>
          <w:color w:val="1F4E79"/>
        </w:rPr>
        <w:t>Le numéro de lot n'est plus nécessaire : la date de manipulation (2014-2015) est antérieure au lot ZRC190633 à partir duquel Zymo a changé 5 souches, ce qui fixe le jeu de souches de référence. Nous avons de plus vérifié que, sur la région V4 amplifiée, les séquences 16S des deux jeux de référence sont identiques pour les 8 espèces — la validation 8/8 des mocks est donc indépendante du lot.</w:t>
      </w:r>
    </w:p>
    <w:p>
      <w:pPr>
        <w:pStyle w:val="Heading1"/>
      </w:pPr>
      <w:r>
        <w:t>4 — Divergences draft / données : confirmation demandée</w:t>
      </w:r>
    </w:p>
    <w:p>
      <w:r>
        <w:rPr>
          <w:b w:val="0"/>
          <w:i/>
        </w:rPr>
        <w:t>Trois points où le draft du manuscrit d'origine diffère du jeu Durance. Nous avons retenu les données Durance ; merci de confirmer.</w:t>
      </w:r>
    </w:p>
    <w:p>
      <w:pPr>
        <w:pStyle w:val="ListBullet"/>
      </w:pPr>
      <w:r>
        <w:rPr>
          <w:b w:val="0"/>
        </w:rPr>
        <w:t>Tissus : le draft mentionne une extraction sur branchie et midgut ; le jeu Durance comporte quatre tissus (nageoire caudale, branchie, midgut, hindgut).</w:t>
      </w:r>
    </w:p>
    <w:p>
      <w:pPr>
        <w:pStyle w:val="ListBullet"/>
      </w:pPr>
      <w:r>
        <w:rPr>
          <w:b w:val="0"/>
        </w:rPr>
        <w:t>Runs : le draft décrit une procédure « dupliquée, et l'une séquencée deux fois » ; les données montrent trois runs des mêmes 768 librairies (triplicats techniques).</w:t>
      </w:r>
    </w:p>
    <w:p>
      <w:pPr>
        <w:pStyle w:val="ListBullet"/>
      </w:pPr>
      <w:r>
        <w:rPr>
          <w:b w:val="0"/>
        </w:rPr>
        <w:t>Taxonomie : le draft cite SILVA v132 via le classifieur bayésien de QIIME 2 ; le pipeline Durance utilise SILVA v138.2 via assignTaxonomy (DADA2). Le M&amp;M décrit le pipeline réellement exécuté.</w:t>
      </w:r>
    </w:p>
    <w:p>
      <w:pPr>
        <w:pStyle w:val="Heading1"/>
      </w:pPr>
      <w:r>
        <w:t>Hors périmètre de cette fiche</w:t>
      </w:r>
    </w:p>
    <w:p>
      <w:r>
        <w:rPr>
          <w:b w:val="0"/>
          <w:i/>
        </w:rPr>
        <w:t>• Génotypage / index hybride : demande séparée (metadata/index_hybride_andre.csv, 181 individus, 132 à renseigner).</w:t>
        <w:br/>
        <w:t>• Dépôt ENA des lectures brutes : pris en charge par JF Martin, à voir ultérieurement.</w:t>
        <w:br/>
        <w:t>• Mode d'application de la raréfaction : décision d'analyse interne, pas une donnée de paillasse.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