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in sequencing run durance1, 50 % of intermediate hybrids</w:t>
      </w:r>
      <w:r>
        <w:rPr>
          <w:color w:val="1F4E79"/>
        </w:rPr>
        <w:t xml:space="preserve"> passed the threshold against 86 % of </w:t>
      </w:r>
      <w:r>
        <w:rPr>
          <w:i/>
          <w:color w:val="1F4E79"/>
        </w:rPr>
        <w:t>P. toxostoma</w:t>
      </w:r>
      <w:r>
        <w:rPr>
          <w:color w:val="1F4E79"/>
        </w:rPr>
        <w:t xml:space="preserve">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(values quoted in Materials and Methods §8.6); shaded bands: range across the three runs.</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