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r>
        <w:rPr>
          <w:b w:val="0"/>
          <w:i/>
        </w:rPr>
        <w:t>Projet microbiome-hybrid. Les paramètres bioinformatiques (§5–7) sont extraits des scripts versionnés sur le cluster (juillet 2026). Les protocoles de paillasse (§2–4) sont transposés du manuscrit d'origine du projet (Guivier, Pech, Martin, Chappaz, Gilles — même assay 16S V4, même équipe) ; ils sont signalés en bleu et restent à confirmer pour le lot d'échantillons Durance. Les informations encore absentes sont en rouge.</w:t>
      </w:r>
    </w:p>
    <w:p>
      <w:pPr>
        <w:pStyle w:val="Heading1"/>
      </w:pPr>
      <w:r>
        <w:t>1. Study system and sampling</w:t>
      </w:r>
    </w:p>
    <w:p>
      <w:r>
        <w:rPr>
          <w:b w:val="0"/>
          <w:i w:val="0"/>
        </w:rPr>
        <w:t>We studied the host-associated bacterial microbiota of two interbreeding cyprinid fishes, the nase Chondrostoma nasus (hotu, code Cn) and the toxostome Parachondrostoma toxostoma (code Pt), together with unassigned Chondrostoma sp. individuals (code Ch) from their contact zone, which comprise the two parental species and their as-yet field-unresolved hybrids. Fish were sampled across nine sites of the Rhône drainage (Durance and Ardèche rivers, France) over two years (2014 and 2015), spanning a gradient of hybrid-zone context (allopatry, sympatry with hybridisation, and asymmetric introgression). A total of 183 individual fish were sequenced (134 Chondrostoma sp., 37 C. nasus, 12 P. toxostoma). The design is strongly unbalanced: site and year are largely confounded (only two sites were sampled in both years), as are taxon and site.</w:t>
      </w:r>
    </w:p>
    <w:p>
      <w:r>
        <w:rPr>
          <w:b w:val="0"/>
          <w:i w:val="0"/>
        </w:rPr>
        <w:t>Specimens were captured by electrofishing, euthanised by cervical dislocation, and immediately dissected with sterile material. The study was conducted according to international guidelines of animal care and under national protocol authorisations n° 2014-156-0001 and n° 2015-1426DDT605.</w:t>
      </w:r>
    </w:p>
    <w:p>
      <w:r>
        <w:rPr>
          <w:i/>
          <w:color w:val="1F6FC0"/>
        </w:rPr>
        <w:t>[Transposé du manuscrit d'origine — à confirmer pour le lot Durance : mode de capture (pêche électrique), euthanasie par dislocation cervicale et numéros d'autorisation — identiques au manuscrit d'origine ; vérifier qu'ils couvrent bien l'ensemble des 9 sites et les deux années.]</w:t>
      </w:r>
    </w:p>
    <w:p>
      <w:r>
        <w:rPr>
          <w:i/>
          <w:color w:val="C00000"/>
        </w:rPr>
        <w:t>[À COMPLÉTER : dates précises de collecte, effectifs par site/année, coordonnées des 9 sites et correspondance code↔nom de site (canal, Ain, Büech, St-Just, Baume, Avignon…).]</w:t>
      </w:r>
    </w:p>
    <w:p>
      <w:r>
        <w:rPr>
          <w:b w:val="0"/>
          <w:i/>
        </w:rPr>
        <w:t>L'identification fine des Chondrostoma sp. (statut parental vs hybride, code Species = Cn/Pt/Hy) est en cours de caractérisation et sera intégrée pour l'analyse de la question hybride ; elle n'affecte pas le traitement bioinformatique ci-dessous.</w:t>
      </w:r>
    </w:p>
    <w:p>
      <w:pPr>
        <w:pStyle w:val="Heading1"/>
      </w:pPr>
      <w:r>
        <w:t>2. Tissue sampling and preservation</w:t>
      </w:r>
    </w:p>
    <w:p>
      <w:r>
        <w:rPr>
          <w:b w:val="0"/>
          <w:i w:val="0"/>
        </w:rPr>
        <w:t>Four tissues were sampled per fish, spanning a gradient of contact with the external environment: caudal fin (code 01), midgut (02), hindgut (03) and gill (05). A piece of each tissue was stored in 95% ethanol at −80 °C until molecular analysis. Nine tissues were re-extracted independently (flagged ‘bis’) and are treated as technical replicates.</w:t>
      </w:r>
    </w:p>
    <w:p>
      <w:r>
        <w:rPr>
          <w:i/>
          <w:color w:val="1F6FC0"/>
        </w:rPr>
        <w:t>[Transposé du manuscrit d'origine — à confirmer pour le lot Durance : conservation en éthanol 95% à −80 °C et dissection stérile — repris du manuscrit d'origine (gills/midgut) et étendus ici aux 4 tissus ; confirmer que caudale et hindgut ont suivi le même protocole.]</w:t>
      </w:r>
    </w:p>
    <w:p>
      <w:pPr>
        <w:pStyle w:val="Heading1"/>
      </w:pPr>
      <w:r>
        <w:t>3. DNA extraction, 16S library preparation and sequencing</w:t>
      </w:r>
    </w:p>
    <w:p>
      <w:r>
        <w:rPr>
          <w:b w:val="0"/>
          <w:i w:val="0"/>
        </w:rPr>
        <w:t>Bacterial DNA was extracted from each tissue with the Qiagen Food Mericon kit (Qiagen, Venlo, Netherlands), following a slightly modified protocol detailed in Guivier et al. (2018). A 251 bp fragment of the V4 region of the bacterial 16S rRNA gene was amplified using the dual-index method of Kozich et al. (2013), with forward and reverse primers carrying an 8 bp index and Illumina adapters (Caporaso primers 515F GTGCCAGCMGCCGCGGTAA / 806R GGACTACHVGGGTWTCTAAT). DNA amplification, purification and pooling of PCR products followed Galan et al. (2016). The final library was quantified with the Kapa quantification kit (Kapa Biosystems) and loaded on an Illumina MiSeq flow cell with reagent kit v3 (2 × 300 cycles).</w:t>
      </w:r>
    </w:p>
    <w:p>
      <w:r>
        <w:rPr>
          <w:b w:val="0"/>
          <w:i w:val="0"/>
        </w:rPr>
        <w:t>For the present study, the same 768 libraries were sequenced three independent times (runs durance1, durance2 and durance3; distinct flow cells and i5 index sets, identical plate layout and i7 indices). Each biological sample is therefore present in triplicate across runs, allowing the sequencing-run effect to be estimated directly, unconfounded with any biological factor.</w:t>
      </w:r>
    </w:p>
    <w:p>
      <w:r>
        <w:rPr>
          <w:i/>
          <w:color w:val="1F6FC0"/>
        </w:rPr>
        <w:t>[Transposé du manuscrit d'origine — à confirmer pour le lot Durance : kit d'extraction Qiagen Food Mericon, méthode dual-index Kozich (2013), protocole Galan (2016), quantification Kapa, MiSeq reagent kit v3 (2×300) — tous repris du manuscrit d'origine (même assay). À confirmer que le lot Durance a suivi exactement ce protocole d'extraction et de PCR.]</w:t>
      </w:r>
    </w:p>
    <w:p>
      <w:r>
        <w:rPr>
          <w:i/>
          <w:color w:val="C00000"/>
        </w:rPr>
        <w:t>[À COMPLÉTER : nombre exact de cycles PCR et polymérase utilisée ; dates des trois runs MiSeq ; taux de spike-in PhiX.]</w:t>
      </w:r>
    </w:p>
    <w:p>
      <w:pPr>
        <w:pStyle w:val="Heading1"/>
      </w:pPr>
      <w:r>
        <w:t>4. Controls</w:t>
      </w:r>
    </w:p>
    <w:p>
      <w:r>
        <w:rPr>
          <w:b w:val="0"/>
          <w:i w:val="0"/>
        </w:rPr>
        <w:t>Extraction blanks and no-template PCR controls (39 controls in total, each sequenced across the three runs), and two aliquots of a commercial mock community — the ZymoBIOMICS Microbial Community Standard (Zymo Research, Irvine, CA, USA), a defined mixture of eight known bacterial taxa — were processed and sequenced alongside the biological samples for contamination assessment and positive-control validation.</w:t>
      </w:r>
    </w:p>
    <w:p>
      <w:r>
        <w:rPr>
          <w:i/>
          <w:color w:val="1F6FC0"/>
        </w:rPr>
        <w:t>[Transposé du manuscrit d'origine — à confirmer pour le lot Durance : standard ZymoBIOMICS (8 taxons bactériens connus) et inclusion de contrôles négatifs/mock — repris du manuscrit d'origine.]</w:t>
      </w:r>
    </w:p>
    <w:p>
      <w:r>
        <w:rPr>
          <w:i/>
          <w:color w:val="C00000"/>
        </w:rPr>
        <w:t>[À COMPLÉTER : référence catalogue et NUMÉRO DE LOT exact du standard Zymo (détermine le jeu de souches de référence, cf. §7) ; répartition précise blancs d'extraction vs contrôles PCR.]</w:t>
      </w:r>
    </w:p>
    <w:p>
      <w:pPr>
        <w:pStyle w:val="Heading1"/>
      </w:pPr>
      <w:r>
        <w:t>5. Sequence processing overview</w:t>
      </w:r>
    </w:p>
    <w:p>
      <w:r>
        <w:rPr>
          <w:b w:val="0"/>
          <w:i w:val="0"/>
        </w:rPr>
        <w:t>Reads were processed with a custom, version-controlled pipeline (git-tracked; each parameter justified in the script headers). The three runs were processed separately through denoising and merged thereafter. Software versions: cutadapt 5.0; R 4.5.3 with DADA2 1.38.0; SILVA reference v138.2 (DADA2 formatted, Zenodo 14169026); BLAST+ 2.13.0; FastQC and MultiQC for quality control. The 16S V4 primers, being also the sequencing primers (Schloss dual-index protocol), are not present in the reads; no 5′ primer trimming was therefore applied.</w:t>
      </w:r>
    </w:p>
    <w:p>
      <w:pPr>
        <w:pStyle w:val="Heading2"/>
      </w:pPr>
      <w:r>
        <w:t>5.1 Quality control</w:t>
      </w:r>
    </w:p>
    <w:p>
      <w:r>
        <w:rPr>
          <w:b w:val="0"/>
          <w:i w:val="0"/>
        </w:rPr>
        <w:t>Per-run read quality was assessed with FastQC and aggregated with MultiQC.</w:t>
      </w:r>
    </w:p>
    <w:p>
      <w:pPr>
        <w:pStyle w:val="Heading2"/>
      </w:pPr>
      <w:r>
        <w:t>5.2 Removal of co-amplified host 12S rRNA</w:t>
      </w:r>
    </w:p>
    <w:p>
      <w:r>
        <w:rPr>
          <w:b w:val="0"/>
          <w:i w:val="0"/>
        </w:rPr>
        <w:t>The 16S V4 primers co-amplify the host mitochondrial 12S rRNA gene (15–67% of reads per sample). Because the host 12S amplicon (~190 bp) is shorter than the bacterial V4 amplicon (~253 bp), host reads were removed upstream by length with cutadapt 5.0: the reverse complements of 806R and 515F were sought at the 3′ end of R1 and R2 respectively (options -a/-A, error rate -e 0.1, minimum overlap -O 10), and read pairs shorter than 240 bp after trimming (--minimum-length 240) were discarded. In a genuine ~253 bp V4 amplicon the opposite primer is never reached within a 251 bp read, so the read stays near full length and is retained; shorter host 12S reads are trimmed below threshold and removed. Discarded reads were kept separately (--too-short-output) as an exploitable host signal.</w:t>
      </w:r>
    </w:p>
    <w:p>
      <w:pPr>
        <w:pStyle w:val="Heading2"/>
      </w:pPr>
      <w:r>
        <w:t>5.3 ASV inference (DADA2, per run)</w:t>
      </w:r>
    </w:p>
    <w:p>
      <w:r>
        <w:rPr>
          <w:b w:val="0"/>
          <w:i w:val="0"/>
        </w:rPr>
        <w:t>Amplicon sequence variants (ASVs) were inferred with DADA2 1.38.0, independently for each run. Reads were quality-filtered and truncated with filterAndTrim (truncLen = 230 for R1 and 190 for R2; maxN = 0; maxEE = c(2, 2); truncQ = 2; rm.phix = TRUE), preserving a large (~167 bp) overlap for the ~253 bp V4 insert with 2×251 bp reads. Error models were learned separately per run (learnErrors), reflecting three distinct MiSeq runs, and reads were denoised (dada) and merged (mergePairs) into per-run sequence tables (makeSequenceTable).</w:t>
      </w:r>
    </w:p>
    <w:p>
      <w:pPr>
        <w:pStyle w:val="Heading2"/>
      </w:pPr>
      <w:r>
        <w:t>5.4 Table merging, chimera removal and taxonomy</w:t>
      </w:r>
    </w:p>
    <w:p>
      <w:r>
        <w:rPr>
          <w:b w:val="0"/>
          <w:i w:val="0"/>
        </w:rPr>
        <w:t>The three per-run sequence tables were combined with mergeSequenceTables, keeping the runs of each library distinct (samples suffixed by run, e.g. __durance1) so that the run effect remains estimable. Chimeras were removed from the merged table with removeBimeraDenovo (method = "consensus"). Taxonomy was assigned against SILVA v138.2 with the naïve Bayesian classifier (assignTaxonomy, tryRC = TRUE) and species-level exact matching (addSpecies). assignTaxonomy replicates the reference per thread and required 256 GB RAM.</w:t>
      </w:r>
    </w:p>
    <w:p>
      <w:pPr>
        <w:pStyle w:val="Heading2"/>
      </w:pPr>
      <w:r>
        <w:t>5.5 Non-target filtering</w:t>
      </w:r>
    </w:p>
    <w:p>
      <w:r>
        <w:rPr>
          <w:b w:val="0"/>
          <w:i w:val="0"/>
        </w:rPr>
        <w:t>ASVs assigned to Eukaryota or unassigned at the domain level, to Chloroplast (Order) or to Mitochondria (Family) were removed; the mitochondrial ASVs correspond to residual full-length host 12S captured by the taxonomic safety net.</w:t>
      </w:r>
    </w:p>
    <w:p>
      <w:pPr>
        <w:pStyle w:val="Heading1"/>
      </w:pPr>
      <w:r>
        <w:t>6. Resulting dataset</w:t>
      </w:r>
    </w:p>
    <w:p>
      <w:r>
        <w:rPr>
          <w:b w:val="0"/>
          <w:i w:val="0"/>
        </w:rPr>
        <w:t>Processing yielded a filtered ASV table of 44,349 ASVs across 2,295 samples (of 2,304 expected; nine empty after filtering: eight controls and one biological sample present in the two other runs). Median read-pair merging was 93–94% and ~98% of reads were retained after chimera removal; ASV length peaked sharply at 251 bp with no residual 12S. The ASV table is joined to the sample metadata (taxon, tissue, site, year, length, weight, sex) by a composite key of the form {sample}__{run}.</w:t>
      </w:r>
    </w:p>
    <w:p>
      <w:pPr>
        <w:pStyle w:val="Heading1"/>
      </w:pPr>
      <w:r>
        <w:t>7. Positive-control validation with the mock community</w:t>
      </w:r>
    </w:p>
    <w:p>
      <w:r>
        <w:rPr>
          <w:b w:val="0"/>
          <w:i w:val="0"/>
        </w:rPr>
        <w:t>The six mock samples (two aliquots × three runs) were used to validate ASV inference. Mock ASVs were compared by BLASTn (BLAST+ 2.13.0) against a reference of the eight bacterial 16S sequences of the ZymoBIOMICS standard. Because Zymo changed five strains from lot ZRC190633 onward, the earlier strain-set reference (archive ZR160406, contemporaneous with the 2014–2015 sequencing) was used. A confident match required ≥99% identity over ≥240 aligned bp. For each mock we computed the proportion of confidently Zymo-matching reads, the number of the eight expected species recovered, and the number of spurious ASVs (≥1% of sample reads without a confident hit). All six mocks recovered the eight expected species, with the eight dominant ASVs matching the reference at 100% identity over 251 bp; confidently matching reads represented ~100% of reads in every mock and no spurious ASV exceeded 1%, confirming accurate and clean ASV inference. (Escherichia coli and Salmonella enterica each contributed a second divergent ASV at ~99.6%, consistent with their multiple non-identical 16S operons.)</w:t>
      </w:r>
    </w:p>
    <w:p>
      <w:r>
        <w:rPr>
          <w:i/>
          <w:color w:val="C00000"/>
        </w:rPr>
        <w:t>[À COMPLÉTER : confirmer le numéro de lot du standard Zymo pour verrouiller le choix du jeu de souches de référence.]</w:t>
      </w:r>
    </w:p>
    <w:p>
      <w:pPr>
        <w:pStyle w:val="Heading1"/>
      </w:pPr>
      <w:r>
        <w:t>8. Downstream ecological analysis</w:t>
      </w:r>
    </w:p>
    <w:p>
      <w:r>
        <w:rPr>
          <w:b w:val="0"/>
          <w:i/>
        </w:rPr>
        <w:t>The validated ASV table is the input for the ecological analysis (decontamination from the sequenced blanks, quantification of the sequencing-run effect from the technical triplicates, and α/β-diversity comparisons among taxa, tissues and sites), and ultimately for testing whether the hybrid microbiota is intermediate between the parental species or transgressive.</w:t>
      </w:r>
    </w:p>
    <w:p>
      <w:r>
        <w:rPr>
          <w:i/>
          <w:color w:val="C00000"/>
        </w:rPr>
        <w:t>[À COMPLÉTER : rédiger cette section une fois l'identification des hybrides intégrée et le plan d'analyse arrêté (indices de diversité, modèles mixtes, PERMANOVA + PERMDISP, abondance différentielle).]</w:t>
      </w:r>
    </w:p>
    <w:p>
      <w:pPr>
        <w:pStyle w:val="Heading1"/>
      </w:pPr>
      <w:r>
        <w:t>9. Reproducibility and data availability</w:t>
      </w:r>
    </w:p>
    <w:p>
      <w:r>
        <w:rPr>
          <w:b w:val="0"/>
          <w:i w:val="0"/>
        </w:rPr>
        <w:t>All processing steps are scripted, version-controlled with git and logged (runs.log), with parameter choices justified in the script headers; metadata corrections are traced by explicit flags rather than applied silently.</w:t>
      </w:r>
    </w:p>
    <w:p>
      <w:r>
        <w:rPr>
          <w:i/>
          <w:color w:val="C00000"/>
        </w:rPr>
        <w:t>[À COMPLÉTER : dépôt des lectures brutes (SRA/ENA) et accession ; métadonnées au format MIxS ; lien vers le dépôt 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