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r>
      <w:r>
        <w:rPr>
          <w:i w:val="0"/>
          <w:color w:val="1F4E79"/>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17.2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r>
      <w:r>
        <w:rPr>
          <w:i w:val="0"/>
          <w:color w:val="1F4E79"/>
        </w:rPr>
        <w:t>Collection dates, per-station counts and WGS84 coordinates for the nine stations are given in Supplementary Table S1; the site-code ↔ station correspondence is given there as well. Two site codes (Ain, Cab) each span the same two Suran stations, one per year.</w:t>
      </w:r>
    </w:p>
    <w:p>
      <w:r>
        <w:rPr>
          <w:b w:val="0"/>
          <w:i/>
        </w:rPr>
      </w:r>
      <w:r>
        <w:rPr>
          <w:i w:val="0"/>
          <w:color w:val="1F4E79"/>
        </w:rPr>
        <w:t>Species identity was resolved by genotyping rather than by morphology. Each individual was assigned to one of three categories from a chromosome-level assignment — Cn (59 individuals), Hy (30) and Pt (91) — and not by thresholding a median hybrid index, because a substantial minority of hybrids carry an extreme median index and their inter-chromosome discordance is what identifies them. Eight of the 49 individuals previously identified on morphology were reclassified. Three stations carry all three categories (74 individuals),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Plate layout and i7 indices were identical throughout, whereas the i5 index set differs between the two libraries —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1F4E79"/>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57 % of hybrids passed the threshold against 87 % of P. toxostoma, a 30-point gap reaching 53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2.5 points and 2,067 samples are retained; claims resting on presence-based metrics are reported at 3,000 reads with the selection declared, since they cannot be tested at 500 and the midgut gap (15 points) persists there in any case.</w:t>
      </w:r>
      <w:r>
        <w:rPr>
          <w:color w:val="1F4E79"/>
        </w:rPr>
        <w:t xml:space="preserve"> Supplementary Table S7 and Figure S2.</w:t>
      </w:r>
    </w:p>
    <w:p>
      <w:pPr/>
      <w:r>
        <w:rPr>
          <w:i/>
          <w:color w:val="1F4E79"/>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(SS8.7), and plate column enters as a covariate (SS8.8).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p>
    <w:p>
      <w:pPr>
        <w:pStyle w:val="Heading1"/>
      </w:pPr>
      <w:r/>
      <w:r>
        <w:rPr>
          <w:b w:val="0"/>
          <w:i w:val="0"/>
        </w:rPr>
        <w:t>8.8 Plate position</w:t>
      </w:r>
    </w:p>
    <w:p>
      <w:pPr>
        <w:pStyle w:val="Heading1"/>
      </w:pPr>
      <w:r/>
      <w:r>
        <w:rPr>
          <w:b w:val="0"/>
          <w:i w:val="0"/>
        </w:rPr>
      </w:r>
      <w:r>
        <w:rPr>
          <w:b w:val="0"/>
          <w:i w:val="0"/>
          <w:color w:val="1F4E79"/>
        </w:rPr>
        <w:t>Individuals were numbered in the field in an order that is not random with respect to genotype, and that order propagated to the extraction plates: category and plate column are strongly associated (Cramer's V = 0.48).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x run strata x 2 metrics, p &lt;= 0.007), replicated across the three runs. Because the terms differ in degrees of freedom, effect sizes are reported relative to their expectation under the null, R2/(df/(n-1)): plate column reaches 1.95 (median R2 = 0.141, 11 df), the same order as genotypic category (2.32; median R2 = 0.029, 2 df) and below station (3.69; median R2 = 0.196, 8 df).</w:t>
      </w:r>
      <w:r>
        <w:rPr>
          <w:color w:val="1F4E79"/>
        </w:rPr>
        <w:t xml:space="preserve"> Supplementary Table S6 and Figure S1.</w:t>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In the five stations carrying a single category, where a column effect is positional by construction, it persists (20 of 24 strata, ratio 2.11). In the symmetric ordering with category fitted first, column still contributes (21 of 24 strata). And the classic plate artefacts are absent: plate row is significant in 6 of 24 strata and plate edge in none, making the effect specific to column, as expected of an effect tracking processing order rather than evaporation or thermal gradients. The mechanism is not identified: extraction order, reagent-batch drift within a plate and cross-contamination between adjacent wells are not separated by these data, and no negative control isolates any of them. Plate column is therefore carried as a covariate in every model testing category, and one tissue's apparent category signal does not survive that adjustment.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the others one or two. Within those three stations, category and plate column are in turn strongly associated, because field numbering followed genotype. The sub-design in which category and position are fully separable at constant station comprises 32 individuals, too few to carry a principal test. One station carries category and position independently and serves as a small clean witness.</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t>A preliminary variance partition was run to size these terms before the ecological analysis, not as a result of it. Fitted in both orderings on the four metrics, genotypic category accounts for 1.4 % to 2.7 % of compositional variance, against 14 % to 36 % for station. No tissue is detected by all four metrics in both permutation schemes, so a global statement that hybrids differ is not supportable: the analysis must say which metric supports which claim, in which tissue. The hindgut shows no category effect on any metric. The caudal fin is detected by weighted UniFrac in all three runs and both schemes, and that result is unchanged in the 500-read sensitivity analysis, where the retention gap that motivated the doubt falls from 30 to 2.5 points - so it is not an artefact of depth-driven selection. The two witnesses that could have discriminated further, the separable sub-design and the independent station, are both underpowered and neither confirms nor refutes.</w:t>
      </w:r>
      <w:r>
        <w:rPr>
          <w:color w:val="1F4E79"/>
        </w:rPr>
        <w:t xml:space="preserve"> Supplementary Table S8.</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