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Demande de compléments — Materials &amp; Methods</w:t>
      </w:r>
    </w:p>
    <w:p>
      <w:r>
        <w:rPr>
          <w:b w:val="0"/>
          <w:i/>
        </w:rPr>
        <w:t>Projet microbiome-hybrid (16S, hotu × toxostome). Mise à jour du 2026-08-22.</w:t>
      </w:r>
    </w:p>
    <w:p>
      <w:r>
        <w:rPr>
          <w:b w:val="0"/>
          <w:i/>
        </w:rPr>
        <w:t>La section M&amp;M est rédigée jusqu'à la préparation des données. Après les réponses reçues, il ne reste qu'un seul point de paillasse ouvert.</w:t>
      </w:r>
    </w:p>
    <w:p>
      <w:pPr>
        <w:pStyle w:val="Heading1"/>
      </w:pPr>
      <w:r>
        <w:t>SEUL POINT OUVERT — Échantillonnage (§1 du M&amp;M)</w:t>
      </w:r>
    </w:p>
    <w:p>
      <w:pPr>
        <w:pStyle w:val="ListBullet"/>
      </w:pPr>
      <w:r>
        <w:rPr>
          <w:b/>
        </w:rPr>
        <w:t>Dates précises de collecte, par site et par année (2014 / 2015).</w:t>
      </w:r>
    </w:p>
    <w:p>
      <w:pPr>
        <w:pStyle w:val="ListBullet"/>
      </w:pPr>
      <w:r>
        <w:rPr>
          <w:b/>
        </w:rPr>
        <w:t>Coordonnées géographiques des 9 sites.</w:t>
      </w:r>
    </w:p>
    <w:p>
      <w:pPr>
        <w:pStyle w:val="ListBullet"/>
      </w:pPr>
      <w:r>
        <w:rPr>
          <w:b w:val="0"/>
        </w:rPr>
        <w:t>Confirmer que la pêche électrique et les autorisations n° 2014-156-0001 et n° 2015-1426DDT605 (reprises du manuscrit d'origine) s'appliquent bien au lot Durance.</w:t>
      </w:r>
    </w:p>
    <w:p>
      <w:r>
        <w:rPr>
          <w:b w:val="0"/>
          <w:i/>
        </w:rPr>
        <w:t>Note : les effectifs sont connus (181 individus). Le rôle de Manosque et l'identité de Per dépendent du génotypage — demande séparée (metadata/index_hybride_andre.csv).</w:t>
      </w:r>
    </w:p>
    <w:p>
      <w:pPr>
        <w:pStyle w:val="Heading1"/>
      </w:pPr>
      <w:r>
        <w:t>Réponses reçues — intégrées au M&amp;M</w:t>
      </w:r>
    </w:p>
    <w:p>
      <w:r>
        <w:rPr>
          <w:b w:val="0"/>
          <w:i/>
        </w:rPr>
        <w:t>Pour mémoire, ce qui est désormais réglé :</w:t>
      </w:r>
    </w:p>
    <w:p>
      <w:pPr>
        <w:pStyle w:val="ListBullet"/>
      </w:pPr>
      <w:r>
        <w:rPr>
          <w:b w:val="0"/>
        </w:rPr>
        <w:t>Séquençage : MiSeq le 10 juillet 2017 (durance1), 5 octobre 2017 (durance2), 3 novembre 2017 (durance3) ; spike-in PhiX 10 %. Conditions de PCR citées via Galan et al. (2016).</w:t>
      </w:r>
    </w:p>
    <w:p>
      <w:pPr>
        <w:pStyle w:val="ListBullet"/>
      </w:pPr>
      <w:r>
        <w:rPr>
          <w:b w:val="0"/>
        </w:rPr>
        <w:t>Mock : ZymoBIOMICS Microbial Community Standard, cat. D6300. Numéro de lot non consigné mais non nécessaire (voir ci-dessous).</w:t>
      </w:r>
    </w:p>
    <w:p>
      <w:pPr>
        <w:pStyle w:val="ListBullet"/>
      </w:pPr>
      <w:r>
        <w:rPr>
          <w:b w:val="0"/>
        </w:rPr>
        <w:t>Contrôles négatifs : 4 blancs d'extraction (un par tissu) + 8 témoins PCR, chacun dans les 3 runs (36 contrôles négatifs au total) — concordant entre le draft et les données.</w:t>
      </w:r>
    </w:p>
    <w:p>
      <w:pPr>
        <w:pStyle w:val="ListBullet"/>
      </w:pPr>
      <w:r>
        <w:rPr>
          <w:b w:val="0"/>
        </w:rPr>
        <w:t>Divergences draft / données : tranchées en faveur des données, le draft ne portant que sur une partie du jeu (branchie et midgut). Le M&amp;M décrit le plan à quatre tissus, les trois runs des mêmes 768 librairies, et SILVA v138.2 via assignTaxonomy (DADA2).</w:t>
      </w:r>
    </w:p>
    <w:p>
      <w:pPr>
        <w:pStyle w:val="Heading1"/>
      </w:pPr>
      <w:r>
        <w:t>Point d'attention — justification du lot Zymo</w:t>
      </w:r>
    </w:p>
    <w:p>
      <w:r>
        <w:rPr>
          <w:b w:val="0"/>
          <w:i w:val="0"/>
          <w:color w:val="1F4E79"/>
        </w:rPr>
        <w:t>La date de séquençage retenue dans le M&amp;M est désormais 2017 (et non 2014-2015, qui correspond à la collecte). L'argument « antérieur au lot ZRC190633 » reste valide mais avec une marge plus courte : la documentation Zymo ne date pas explicitement le changement de souches ; un lot ZRC187325 est documenté comme contenant l'ancien mélange, ce qui situe la bascule vers 2018-2019, donc après novembre 2017.</w:t>
      </w:r>
    </w:p>
    <w:p>
      <w:r>
        <w:rPr>
          <w:b w:val="0"/>
          <w:i w:val="0"/>
          <w:color w:val="1F4E79"/>
        </w:rPr>
        <w:t>Cela reste sans conséquence sur la validation : nous avons vérifié que, sur la région V4 amplifiée, les séquences 16S des deux jeux de référence sont identiques pour les 8 espèces. La récupération 8/8 des taxons attendus est donc indépendante du lot.</w:t>
      </w:r>
    </w:p>
    <w:p>
      <w:pPr>
        <w:pStyle w:val="Heading1"/>
      </w:pPr>
      <w:r>
        <w:t>Hors périmètre de cette fiche</w:t>
      </w:r>
    </w:p>
    <w:p>
      <w:r>
        <w:rPr>
          <w:b w:val="0"/>
          <w:i/>
        </w:rPr>
        <w:t>• Génotypage / index hybride : demande séparée (181 individus, 132 à renseigner).</w:t>
        <w:br/>
        <w:t>• Dépôt ENA des lectures brutes : pris en charge par JF Martin.</w:t>
        <w:br/>
        <w:t>• Mode d'application de la raréfaction : décision d'analyse interne.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