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r>
      <w:r>
        <w:rPr>
          <w:i w:val="0"/>
          <w:color w:val="1F4E79"/>
        </w:rPr>
        <w:t>Collection dates, per-station counts and WGS84 coordinates for the nine stations are given in Supplementary Table S1; the site-code ↔ station correspondence is given there as well. Two site codes (Ain, Cab) each span the same two Suran stations, one per year.</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Plate layout and i7 indices were identical throughout, whereas the i5 index set differs between the two libraries —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1F4E79"/>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shows no category effect on any metric.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w:t>
      </w:r>
      <w:r>
        <w:rPr>
          <w:color w:val="1F4E79"/>
        </w:rPr>
        <w:t xml:space="preserve"> Supplementary Table S8.</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